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693"/>
      </w:tblGrid>
      <w:tr w:rsidR="00F01E07" w:rsidRPr="004C16A0">
        <w:trPr>
          <w:cantSplit/>
          <w:trHeight w:hRule="exact" w:val="480"/>
        </w:trPr>
        <w:tc>
          <w:tcPr>
            <w:tcW w:w="7655" w:type="dxa"/>
            <w:gridSpan w:val="2"/>
          </w:tcPr>
          <w:p w:rsidR="00F01E07" w:rsidRDefault="00F01E07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PRESSEINFORMATION</w:t>
            </w:r>
          </w:p>
        </w:tc>
        <w:tc>
          <w:tcPr>
            <w:tcW w:w="2693" w:type="dxa"/>
            <w:vMerge w:val="restart"/>
          </w:tcPr>
          <w:p w:rsidR="0050117F" w:rsidRDefault="0050117F" w:rsidP="0050117F">
            <w:pPr>
              <w:pStyle w:val="Address"/>
            </w:pPr>
            <w:r>
              <w:t>Corneliusstraße 4</w:t>
            </w:r>
          </w:p>
          <w:p w:rsidR="0050117F" w:rsidRDefault="0050117F" w:rsidP="0050117F">
            <w:pPr>
              <w:pStyle w:val="Address"/>
            </w:pPr>
            <w:r>
              <w:t>60325 Frankfurt am Main</w:t>
            </w:r>
          </w:p>
          <w:p w:rsidR="0050117F" w:rsidRDefault="009170BD" w:rsidP="0050117F">
            <w:pPr>
              <w:pStyle w:val="Address"/>
            </w:pPr>
            <w:r>
              <w:t>GERMANY</w:t>
            </w:r>
          </w:p>
          <w:p w:rsidR="0050117F" w:rsidRDefault="0050117F" w:rsidP="0050117F">
            <w:pPr>
              <w:pStyle w:val="Address"/>
            </w:pPr>
            <w:r>
              <w:t>Telefon</w:t>
            </w:r>
            <w:r>
              <w:tab/>
              <w:t>+49 69 756081-</w:t>
            </w:r>
            <w:r w:rsidR="00DD6AE0">
              <w:t>33</w:t>
            </w:r>
          </w:p>
          <w:p w:rsidR="0050117F" w:rsidRDefault="0050117F" w:rsidP="0050117F">
            <w:pPr>
              <w:pStyle w:val="Address"/>
            </w:pPr>
            <w:r>
              <w:t>Telefax</w:t>
            </w:r>
            <w:r>
              <w:tab/>
              <w:t>+49 69 756081-11</w:t>
            </w:r>
          </w:p>
          <w:p w:rsidR="0050117F" w:rsidRDefault="0050117F" w:rsidP="0050117F">
            <w:pPr>
              <w:pStyle w:val="Address"/>
            </w:pPr>
            <w:r>
              <w:t>E-Mail</w:t>
            </w:r>
            <w:r>
              <w:tab/>
            </w:r>
            <w:r w:rsidR="00DD6AE0">
              <w:t>s.becker</w:t>
            </w:r>
            <w:r>
              <w:t>@vdw.de</w:t>
            </w:r>
          </w:p>
          <w:p w:rsidR="0050117F" w:rsidRPr="00DC5E3E" w:rsidRDefault="0050117F" w:rsidP="0050117F">
            <w:pPr>
              <w:pStyle w:val="Address"/>
            </w:pPr>
            <w:r w:rsidRPr="00DC5E3E">
              <w:t>Internet</w:t>
            </w:r>
            <w:r w:rsidRPr="00DC5E3E">
              <w:tab/>
              <w:t>www.vdw.de</w:t>
            </w:r>
          </w:p>
          <w:p w:rsidR="0050117F" w:rsidRPr="00DC5E3E" w:rsidRDefault="0050117F" w:rsidP="0050117F">
            <w:pPr>
              <w:pStyle w:val="Address"/>
            </w:pPr>
          </w:p>
          <w:p w:rsidR="00F01E07" w:rsidRPr="00DC5E3E" w:rsidRDefault="00F01E07"/>
          <w:p w:rsidR="00F01E07" w:rsidRPr="00DC5E3E" w:rsidRDefault="00F01E07">
            <w:pPr>
              <w:pStyle w:val="Initials"/>
            </w:pPr>
          </w:p>
        </w:tc>
      </w:tr>
      <w:tr w:rsidR="00F01E07" w:rsidRPr="004C16A0">
        <w:trPr>
          <w:cantSplit/>
          <w:trHeight w:val="260"/>
        </w:trPr>
        <w:tc>
          <w:tcPr>
            <w:tcW w:w="1134" w:type="dxa"/>
          </w:tcPr>
          <w:p w:rsidR="00F01E07" w:rsidRPr="00DC5E3E" w:rsidRDefault="00F01E07"/>
        </w:tc>
        <w:tc>
          <w:tcPr>
            <w:tcW w:w="6521" w:type="dxa"/>
          </w:tcPr>
          <w:p w:rsidR="00F01E07" w:rsidRPr="00DC5E3E" w:rsidRDefault="00F01E07">
            <w:pPr>
              <w:pStyle w:val="Name"/>
            </w:pPr>
          </w:p>
        </w:tc>
        <w:tc>
          <w:tcPr>
            <w:tcW w:w="2693" w:type="dxa"/>
            <w:vMerge/>
            <w:vAlign w:val="center"/>
          </w:tcPr>
          <w:p w:rsidR="00F01E07" w:rsidRPr="00DC5E3E" w:rsidRDefault="00F01E07"/>
        </w:tc>
      </w:tr>
      <w:tr w:rsidR="00F01E07" w:rsidRPr="004C16A0">
        <w:trPr>
          <w:cantSplit/>
          <w:trHeight w:val="260"/>
        </w:trPr>
        <w:tc>
          <w:tcPr>
            <w:tcW w:w="1134" w:type="dxa"/>
          </w:tcPr>
          <w:p w:rsidR="00F01E07" w:rsidRPr="00DC5E3E" w:rsidRDefault="00F01E07"/>
        </w:tc>
        <w:tc>
          <w:tcPr>
            <w:tcW w:w="6521" w:type="dxa"/>
          </w:tcPr>
          <w:p w:rsidR="00F01E07" w:rsidRPr="00DC5E3E" w:rsidRDefault="00F01E07">
            <w:pPr>
              <w:pStyle w:val="Firma"/>
            </w:pPr>
          </w:p>
        </w:tc>
        <w:tc>
          <w:tcPr>
            <w:tcW w:w="2693" w:type="dxa"/>
            <w:vMerge/>
            <w:vAlign w:val="center"/>
          </w:tcPr>
          <w:p w:rsidR="00F01E07" w:rsidRPr="00DC5E3E" w:rsidRDefault="00F01E07"/>
        </w:tc>
      </w:tr>
      <w:tr w:rsidR="00F01E07" w:rsidRPr="004C16A0">
        <w:trPr>
          <w:cantSplit/>
          <w:trHeight w:val="260"/>
        </w:trPr>
        <w:tc>
          <w:tcPr>
            <w:tcW w:w="1134" w:type="dxa"/>
          </w:tcPr>
          <w:p w:rsidR="00F01E07" w:rsidRPr="00DC5E3E" w:rsidRDefault="00F01E07"/>
        </w:tc>
        <w:tc>
          <w:tcPr>
            <w:tcW w:w="6521" w:type="dxa"/>
          </w:tcPr>
          <w:p w:rsidR="00F01E07" w:rsidRPr="00DC5E3E" w:rsidRDefault="00F01E07">
            <w:pPr>
              <w:pStyle w:val="Fax1"/>
              <w:spacing w:line="240" w:lineRule="atLeast"/>
            </w:pPr>
          </w:p>
        </w:tc>
        <w:tc>
          <w:tcPr>
            <w:tcW w:w="2693" w:type="dxa"/>
            <w:vMerge/>
            <w:vAlign w:val="center"/>
          </w:tcPr>
          <w:p w:rsidR="00F01E07" w:rsidRPr="00DC5E3E" w:rsidRDefault="00F01E07"/>
        </w:tc>
      </w:tr>
      <w:tr w:rsidR="00F01E07" w:rsidRPr="004C16A0">
        <w:trPr>
          <w:cantSplit/>
          <w:trHeight w:val="260"/>
        </w:trPr>
        <w:tc>
          <w:tcPr>
            <w:tcW w:w="1134" w:type="dxa"/>
          </w:tcPr>
          <w:p w:rsidR="00F01E07" w:rsidRPr="00DC5E3E" w:rsidRDefault="00F01E07"/>
        </w:tc>
        <w:tc>
          <w:tcPr>
            <w:tcW w:w="6521" w:type="dxa"/>
          </w:tcPr>
          <w:p w:rsidR="00F01E07" w:rsidRPr="00DC5E3E" w:rsidRDefault="00F01E07"/>
        </w:tc>
        <w:tc>
          <w:tcPr>
            <w:tcW w:w="2693" w:type="dxa"/>
            <w:vMerge/>
            <w:vAlign w:val="center"/>
          </w:tcPr>
          <w:p w:rsidR="00F01E07" w:rsidRPr="00DC5E3E" w:rsidRDefault="00F01E07"/>
        </w:tc>
      </w:tr>
      <w:tr w:rsidR="00F01E07">
        <w:trPr>
          <w:cantSplit/>
          <w:trHeight w:val="260"/>
        </w:trPr>
        <w:tc>
          <w:tcPr>
            <w:tcW w:w="1134" w:type="dxa"/>
          </w:tcPr>
          <w:p w:rsidR="00F01E07" w:rsidRDefault="007B6219">
            <w:r>
              <w:t>V</w:t>
            </w:r>
            <w:r w:rsidR="00F01E07">
              <w:t>on</w:t>
            </w:r>
          </w:p>
        </w:tc>
        <w:tc>
          <w:tcPr>
            <w:tcW w:w="6521" w:type="dxa"/>
          </w:tcPr>
          <w:p w:rsidR="00F01E07" w:rsidRDefault="00F01E07">
            <w:pPr>
              <w:pStyle w:val="Von"/>
              <w:spacing w:line="240" w:lineRule="atLeast"/>
            </w:pPr>
            <w:r>
              <w:t>Sylke Becker</w:t>
            </w:r>
          </w:p>
        </w:tc>
        <w:tc>
          <w:tcPr>
            <w:tcW w:w="2693" w:type="dxa"/>
            <w:vMerge/>
            <w:vAlign w:val="center"/>
          </w:tcPr>
          <w:p w:rsidR="00F01E07" w:rsidRDefault="00F01E07"/>
        </w:tc>
      </w:tr>
      <w:tr w:rsidR="00F01E07">
        <w:trPr>
          <w:cantSplit/>
          <w:trHeight w:val="260"/>
        </w:trPr>
        <w:tc>
          <w:tcPr>
            <w:tcW w:w="1134" w:type="dxa"/>
          </w:tcPr>
          <w:p w:rsidR="00F01E07" w:rsidRDefault="00F01E07">
            <w:r>
              <w:t>Telefon</w:t>
            </w:r>
          </w:p>
        </w:tc>
        <w:tc>
          <w:tcPr>
            <w:tcW w:w="6521" w:type="dxa"/>
          </w:tcPr>
          <w:p w:rsidR="00F01E07" w:rsidRDefault="00F01E07">
            <w:pPr>
              <w:pStyle w:val="Telefon"/>
            </w:pPr>
            <w:r>
              <w:t>+49 69 756081-33</w:t>
            </w:r>
          </w:p>
        </w:tc>
        <w:tc>
          <w:tcPr>
            <w:tcW w:w="2693" w:type="dxa"/>
            <w:vMerge/>
            <w:vAlign w:val="center"/>
          </w:tcPr>
          <w:p w:rsidR="00F01E07" w:rsidRDefault="00F01E07"/>
        </w:tc>
      </w:tr>
      <w:tr w:rsidR="00F01E07">
        <w:trPr>
          <w:cantSplit/>
          <w:trHeight w:val="260"/>
        </w:trPr>
        <w:tc>
          <w:tcPr>
            <w:tcW w:w="1134" w:type="dxa"/>
          </w:tcPr>
          <w:p w:rsidR="00F01E07" w:rsidRDefault="00F01E07">
            <w:r>
              <w:t>Telefax</w:t>
            </w:r>
          </w:p>
        </w:tc>
        <w:tc>
          <w:tcPr>
            <w:tcW w:w="6521" w:type="dxa"/>
          </w:tcPr>
          <w:p w:rsidR="00F01E07" w:rsidRDefault="00F01E07">
            <w:pPr>
              <w:pStyle w:val="Fax2"/>
              <w:spacing w:line="240" w:lineRule="atLeast"/>
            </w:pPr>
            <w:r>
              <w:t>+49 69 756081-11</w:t>
            </w:r>
          </w:p>
        </w:tc>
        <w:tc>
          <w:tcPr>
            <w:tcW w:w="2693" w:type="dxa"/>
            <w:vMerge/>
            <w:vAlign w:val="center"/>
          </w:tcPr>
          <w:p w:rsidR="00F01E07" w:rsidRDefault="00F01E07"/>
        </w:tc>
      </w:tr>
      <w:tr w:rsidR="00F01E07">
        <w:trPr>
          <w:cantSplit/>
          <w:trHeight w:val="260"/>
        </w:trPr>
        <w:tc>
          <w:tcPr>
            <w:tcW w:w="1134" w:type="dxa"/>
          </w:tcPr>
          <w:p w:rsidR="00F01E07" w:rsidRDefault="00F01E07">
            <w:r>
              <w:t>E-Mail</w:t>
            </w:r>
          </w:p>
        </w:tc>
        <w:tc>
          <w:tcPr>
            <w:tcW w:w="6521" w:type="dxa"/>
          </w:tcPr>
          <w:p w:rsidR="00F01E07" w:rsidRDefault="00F01E07">
            <w:pPr>
              <w:pStyle w:val="Page"/>
            </w:pPr>
            <w:r>
              <w:t>s.becker@vdw.de</w:t>
            </w:r>
          </w:p>
        </w:tc>
        <w:tc>
          <w:tcPr>
            <w:tcW w:w="2693" w:type="dxa"/>
            <w:vMerge/>
            <w:vAlign w:val="center"/>
          </w:tcPr>
          <w:p w:rsidR="00F01E07" w:rsidRDefault="00F01E07"/>
        </w:tc>
      </w:tr>
    </w:tbl>
    <w:p w:rsidR="00F01E07" w:rsidRDefault="00F01E07"/>
    <w:p w:rsidR="005D1A90" w:rsidRDefault="005D1A90" w:rsidP="00E34DA1">
      <w:pPr>
        <w:spacing w:line="360" w:lineRule="auto"/>
        <w:rPr>
          <w:b/>
          <w:sz w:val="28"/>
          <w:szCs w:val="28"/>
        </w:rPr>
      </w:pPr>
    </w:p>
    <w:p w:rsidR="009E2ABF" w:rsidRDefault="00921165" w:rsidP="00E34DA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Schwacher </w:t>
      </w:r>
      <w:r w:rsidR="00DA5B09">
        <w:rPr>
          <w:b/>
          <w:sz w:val="28"/>
          <w:szCs w:val="28"/>
        </w:rPr>
        <w:t>Auftragseing</w:t>
      </w:r>
      <w:r>
        <w:rPr>
          <w:b/>
          <w:sz w:val="28"/>
          <w:szCs w:val="28"/>
        </w:rPr>
        <w:t>a</w:t>
      </w:r>
      <w:r w:rsidR="00094CF4">
        <w:rPr>
          <w:b/>
          <w:sz w:val="28"/>
          <w:szCs w:val="28"/>
        </w:rPr>
        <w:t>ng</w:t>
      </w:r>
      <w:r>
        <w:rPr>
          <w:b/>
          <w:sz w:val="28"/>
          <w:szCs w:val="28"/>
        </w:rPr>
        <w:t xml:space="preserve"> in der deutschen Wer</w:t>
      </w:r>
      <w:r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zeugmaschinenindustrie </w:t>
      </w:r>
    </w:p>
    <w:p w:rsidR="00B4283A" w:rsidRPr="00B4283A" w:rsidRDefault="009E2ABF" w:rsidP="00E34DA1">
      <w:pPr>
        <w:spacing w:line="360" w:lineRule="auto"/>
        <w:rPr>
          <w:b/>
          <w:sz w:val="28"/>
          <w:szCs w:val="28"/>
        </w:rPr>
      </w:pPr>
      <w:r>
        <w:rPr>
          <w:b/>
          <w:szCs w:val="22"/>
        </w:rPr>
        <w:t>VDW revidiert Produktionsprognose für 2014</w:t>
      </w:r>
    </w:p>
    <w:p w:rsidR="008869FB" w:rsidRDefault="008869FB" w:rsidP="004C16A0">
      <w:pPr>
        <w:pStyle w:val="Opening"/>
        <w:spacing w:line="360" w:lineRule="auto"/>
      </w:pPr>
    </w:p>
    <w:p w:rsidR="00AB72B9" w:rsidRDefault="006D0002" w:rsidP="008869FB">
      <w:pPr>
        <w:spacing w:line="360" w:lineRule="auto"/>
        <w:ind w:right="-1"/>
      </w:pPr>
      <w:r>
        <w:rPr>
          <w:b/>
        </w:rPr>
        <w:t xml:space="preserve">Frankfurt am Main, </w:t>
      </w:r>
      <w:r w:rsidR="00FA64BA">
        <w:rPr>
          <w:b/>
        </w:rPr>
        <w:t>24</w:t>
      </w:r>
      <w:r w:rsidR="004C16A0">
        <w:rPr>
          <w:b/>
        </w:rPr>
        <w:t xml:space="preserve">. </w:t>
      </w:r>
      <w:r w:rsidR="00921165">
        <w:rPr>
          <w:b/>
        </w:rPr>
        <w:t>November</w:t>
      </w:r>
      <w:r w:rsidR="00AF5CCD">
        <w:rPr>
          <w:b/>
        </w:rPr>
        <w:t xml:space="preserve"> 2014</w:t>
      </w:r>
      <w:r w:rsidR="00AB72B9" w:rsidRPr="00AB72B9">
        <w:rPr>
          <w:b/>
        </w:rPr>
        <w:t xml:space="preserve">. </w:t>
      </w:r>
      <w:r w:rsidR="004C16A0">
        <w:t xml:space="preserve">– Im </w:t>
      </w:r>
      <w:r w:rsidR="00921165">
        <w:t>dritten</w:t>
      </w:r>
      <w:r w:rsidR="00DC5E3E">
        <w:t xml:space="preserve"> Quartal 201</w:t>
      </w:r>
      <w:r w:rsidR="00E757C3">
        <w:t>4</w:t>
      </w:r>
      <w:r w:rsidR="00921165">
        <w:t xml:space="preserve"> fiel </w:t>
      </w:r>
      <w:r w:rsidR="00AB72B9">
        <w:t xml:space="preserve">der Auftragseingang der deutschen Werkzeugmaschinenindustrie </w:t>
      </w:r>
      <w:r w:rsidR="00E34DA1">
        <w:t>im Vergleich zu</w:t>
      </w:r>
      <w:r w:rsidR="00CB3133">
        <w:t>m</w:t>
      </w:r>
      <w:r w:rsidR="00DC5E3E">
        <w:t xml:space="preserve"> </w:t>
      </w:r>
      <w:r w:rsidR="00921165">
        <w:t>dritt</w:t>
      </w:r>
      <w:r w:rsidR="00DA5B09">
        <w:t>en</w:t>
      </w:r>
      <w:r w:rsidR="00E34DA1">
        <w:t xml:space="preserve"> Quartal </w:t>
      </w:r>
      <w:r w:rsidR="00DC5E3E">
        <w:t>201</w:t>
      </w:r>
      <w:r w:rsidR="00E757C3">
        <w:t>3</w:t>
      </w:r>
      <w:r w:rsidR="00B722EE">
        <w:t xml:space="preserve"> </w:t>
      </w:r>
      <w:r w:rsidR="00E757C3">
        <w:t xml:space="preserve">um </w:t>
      </w:r>
      <w:r w:rsidR="00921165">
        <w:t>8</w:t>
      </w:r>
      <w:r w:rsidR="00AB72B9">
        <w:t xml:space="preserve"> Prozent</w:t>
      </w:r>
      <w:r w:rsidR="009E2ABF">
        <w:t xml:space="preserve"> niedriger aus</w:t>
      </w:r>
      <w:r w:rsidR="00AB72B9">
        <w:t>. Die</w:t>
      </w:r>
      <w:r w:rsidR="00DC5E3E">
        <w:t xml:space="preserve"> Inlandsbestellungen </w:t>
      </w:r>
      <w:r w:rsidR="00E757C3">
        <w:t>lagen</w:t>
      </w:r>
      <w:r w:rsidR="00BB4E98">
        <w:t xml:space="preserve"> </w:t>
      </w:r>
      <w:r w:rsidR="002D53E9">
        <w:t>9</w:t>
      </w:r>
      <w:r w:rsidR="00E34DA1">
        <w:t xml:space="preserve"> Prozent </w:t>
      </w:r>
      <w:r w:rsidR="002D53E9">
        <w:t>unter</w:t>
      </w:r>
      <w:r w:rsidR="00E757C3">
        <w:t xml:space="preserve"> Vorjahr, </w:t>
      </w:r>
      <w:r w:rsidR="00E34DA1">
        <w:t>d</w:t>
      </w:r>
      <w:r w:rsidR="00B4283A">
        <w:t xml:space="preserve">ie Auslandsbestellungen </w:t>
      </w:r>
      <w:r w:rsidR="002D53E9">
        <w:t>7</w:t>
      </w:r>
      <w:r w:rsidR="00921165">
        <w:t xml:space="preserve"> </w:t>
      </w:r>
      <w:r w:rsidR="00E757C3">
        <w:t>Prozent</w:t>
      </w:r>
      <w:r w:rsidR="00BB4E98">
        <w:t xml:space="preserve"> </w:t>
      </w:r>
      <w:r w:rsidR="009E2ABF">
        <w:t xml:space="preserve">darunter. </w:t>
      </w:r>
      <w:r w:rsidR="00921165">
        <w:t>Für die</w:t>
      </w:r>
      <w:r w:rsidR="00DA5B09">
        <w:t xml:space="preserve"> erste</w:t>
      </w:r>
      <w:r w:rsidR="00921165">
        <w:t>n drei Quartale</w:t>
      </w:r>
      <w:r w:rsidR="00DA5B09">
        <w:t xml:space="preserve"> 2014 notierte der Auftragseingang insgesamt </w:t>
      </w:r>
      <w:r w:rsidR="00921165">
        <w:t>1</w:t>
      </w:r>
      <w:r w:rsidR="00DA5B09">
        <w:t xml:space="preserve"> Prozent über </w:t>
      </w:r>
      <w:r w:rsidR="005E3789">
        <w:t>dem Vergleichszeitraum 2013</w:t>
      </w:r>
      <w:r w:rsidR="00DA5B09">
        <w:t xml:space="preserve">. Die Inlandsbestellungen stiegen um 8 Prozent, die Auslandsnachfrage verlor </w:t>
      </w:r>
      <w:r w:rsidR="00921165">
        <w:t>3</w:t>
      </w:r>
      <w:r w:rsidR="00DA5B09">
        <w:t xml:space="preserve"> Prozent.  </w:t>
      </w:r>
    </w:p>
    <w:p w:rsidR="00AB72B9" w:rsidRDefault="00AB72B9" w:rsidP="00AB72B9">
      <w:pPr>
        <w:spacing w:line="360" w:lineRule="auto"/>
        <w:ind w:right="1416"/>
      </w:pPr>
    </w:p>
    <w:p w:rsidR="00FA64BA" w:rsidRDefault="00CE0972" w:rsidP="00410B7F">
      <w:pPr>
        <w:tabs>
          <w:tab w:val="left" w:pos="7654"/>
        </w:tabs>
        <w:spacing w:line="360" w:lineRule="auto"/>
        <w:ind w:right="-1"/>
      </w:pPr>
      <w:r>
        <w:t>„</w:t>
      </w:r>
      <w:r w:rsidR="005E0450">
        <w:t>D</w:t>
      </w:r>
      <w:r w:rsidR="00E35C90">
        <w:t>er Auftragseingang blieb 2014 bisher unter den Erwartungen</w:t>
      </w:r>
      <w:r w:rsidR="00DA5B09">
        <w:t xml:space="preserve">“, </w:t>
      </w:r>
      <w:r w:rsidR="002D53E9">
        <w:t>sagt</w:t>
      </w:r>
      <w:r w:rsidR="00CD42BD">
        <w:t xml:space="preserve"> </w:t>
      </w:r>
      <w:r>
        <w:t>Dr. Wilfr</w:t>
      </w:r>
      <w:r w:rsidR="00F8109A">
        <w:t>ied Schäfer, Geschäftsführer des Branchenverbands</w:t>
      </w:r>
      <w:r>
        <w:t xml:space="preserve"> VDW (Verein Deu</w:t>
      </w:r>
      <w:r>
        <w:t>t</w:t>
      </w:r>
      <w:r>
        <w:t>scher Werkzeugmaschinenfabri</w:t>
      </w:r>
      <w:r w:rsidR="00E35C90">
        <w:t>ken) in Frankfurt am Main. Zuletzt drehten die Inlandsorders nach einer starken ersten Jahreshälfte im dritten Quartal ins M</w:t>
      </w:r>
      <w:r w:rsidR="00E35C90">
        <w:t>i</w:t>
      </w:r>
      <w:r w:rsidR="00E35C90">
        <w:t>nus. Wachsende Unsicherheit über die weitere Entwicklung der Weltwirtsch</w:t>
      </w:r>
      <w:r w:rsidR="00FA64BA">
        <w:t xml:space="preserve">aft drücken auf die </w:t>
      </w:r>
      <w:r w:rsidR="00E35C90">
        <w:t>Investitionsbereitschaft</w:t>
      </w:r>
      <w:r w:rsidR="00FA64BA">
        <w:t xml:space="preserve"> der deutschen Abnehmer</w:t>
      </w:r>
      <w:r w:rsidR="00E35C90">
        <w:t>. Dazu tragen die Ukraine</w:t>
      </w:r>
      <w:r w:rsidR="00E35C90">
        <w:softHyphen/>
      </w:r>
      <w:r w:rsidR="00FA64BA">
        <w:t>-K</w:t>
      </w:r>
      <w:r w:rsidR="00E35C90">
        <w:t xml:space="preserve">rise, das brachliegende Russlandgeschäft und die verhaltene Entwicklung in China bei. </w:t>
      </w:r>
    </w:p>
    <w:p w:rsidR="00C46238" w:rsidRPr="002E4517" w:rsidRDefault="00C46238" w:rsidP="00410B7F">
      <w:pPr>
        <w:tabs>
          <w:tab w:val="left" w:pos="7654"/>
        </w:tabs>
        <w:spacing w:line="360" w:lineRule="auto"/>
        <w:ind w:right="-1"/>
      </w:pPr>
    </w:p>
    <w:p w:rsidR="00FA64BA" w:rsidRPr="002E4517" w:rsidRDefault="00C46238" w:rsidP="00410B7F">
      <w:pPr>
        <w:tabs>
          <w:tab w:val="left" w:pos="7654"/>
        </w:tabs>
        <w:spacing w:line="360" w:lineRule="auto"/>
        <w:ind w:right="-1"/>
      </w:pPr>
      <w:r w:rsidRPr="002E4517">
        <w:t xml:space="preserve">Das zeigt sich auch bei den Auslandsbestellungen. Zwar zeigt </w:t>
      </w:r>
      <w:r w:rsidR="00C93918" w:rsidRPr="002E4517">
        <w:t>der geglätte</w:t>
      </w:r>
      <w:r w:rsidR="00787783" w:rsidRPr="002E4517">
        <w:t>te Kurvenverlauf</w:t>
      </w:r>
      <w:r w:rsidR="00C93918" w:rsidRPr="002E4517">
        <w:t xml:space="preserve"> </w:t>
      </w:r>
      <w:r w:rsidR="00E63616">
        <w:t xml:space="preserve">bereinigt </w:t>
      </w:r>
      <w:r w:rsidR="005E3789">
        <w:t xml:space="preserve">um saisonale Effekte </w:t>
      </w:r>
      <w:r w:rsidRPr="002E4517">
        <w:t>seit etlichen Monaten nach oben.</w:t>
      </w:r>
      <w:r w:rsidRPr="002E4517">
        <w:rPr>
          <w:i/>
        </w:rPr>
        <w:t xml:space="preserve"> </w:t>
      </w:r>
      <w:r w:rsidRPr="002E4517">
        <w:t>Die erwartete kräftige Belebung blieb jedoch bisher aus</w:t>
      </w:r>
      <w:r w:rsidR="00787783" w:rsidRPr="002E4517">
        <w:t>. Das drückt</w:t>
      </w:r>
      <w:r w:rsidR="00484E66" w:rsidRPr="002E4517">
        <w:t xml:space="preserve"> </w:t>
      </w:r>
      <w:r w:rsidR="00787783" w:rsidRPr="002E4517">
        <w:t xml:space="preserve">sich im </w:t>
      </w:r>
      <w:r w:rsidR="00787783" w:rsidRPr="002E4517">
        <w:lastRenderedPageBreak/>
        <w:t xml:space="preserve">Auf und Ab </w:t>
      </w:r>
      <w:r w:rsidR="00484E66" w:rsidRPr="002E4517">
        <w:t xml:space="preserve">der Monatswerte aus. </w:t>
      </w:r>
      <w:r w:rsidRPr="002E4517">
        <w:t>Positiv überraschen die Euro-Länder. Hier haben die Bestellungen seit gut vier Monaten ins Plus gedreht und zogen z</w:t>
      </w:r>
      <w:r w:rsidRPr="002E4517">
        <w:t>u</w:t>
      </w:r>
      <w:r w:rsidRPr="002E4517">
        <w:t xml:space="preserve">letzt im dritten Quartal um 12 Prozent an. </w:t>
      </w:r>
      <w:r w:rsidR="009E2ABF" w:rsidRPr="002E4517">
        <w:t>I</w:t>
      </w:r>
      <w:r w:rsidRPr="002E4517">
        <w:t xml:space="preserve">nsbesondere die Osteuropäer, </w:t>
      </w:r>
      <w:r w:rsidR="00484E66" w:rsidRPr="002E4517">
        <w:t>ko</w:t>
      </w:r>
      <w:r w:rsidR="00484E66" w:rsidRPr="002E4517">
        <w:t>n</w:t>
      </w:r>
      <w:r w:rsidR="00484E66" w:rsidRPr="002E4517">
        <w:t xml:space="preserve">kret </w:t>
      </w:r>
      <w:r w:rsidRPr="002E4517">
        <w:t xml:space="preserve">Polen, Ungarn </w:t>
      </w:r>
      <w:r w:rsidR="00484E66" w:rsidRPr="002E4517">
        <w:t xml:space="preserve">und </w:t>
      </w:r>
      <w:r w:rsidRPr="002E4517">
        <w:t xml:space="preserve">Tschechien, </w:t>
      </w:r>
      <w:r w:rsidR="009E2ABF" w:rsidRPr="002E4517">
        <w:t>glänzen</w:t>
      </w:r>
      <w:r w:rsidRPr="002E4517">
        <w:t xml:space="preserve"> mit hohen Zuwachsra</w:t>
      </w:r>
      <w:r w:rsidR="009E2ABF" w:rsidRPr="002E4517">
        <w:t>ten</w:t>
      </w:r>
      <w:r w:rsidRPr="002E4517">
        <w:t xml:space="preserve">. </w:t>
      </w:r>
    </w:p>
    <w:p w:rsidR="00787783" w:rsidRPr="002E4517" w:rsidRDefault="00787783" w:rsidP="00410B7F">
      <w:pPr>
        <w:tabs>
          <w:tab w:val="left" w:pos="7654"/>
        </w:tabs>
        <w:spacing w:line="360" w:lineRule="auto"/>
        <w:ind w:right="-1"/>
      </w:pPr>
    </w:p>
    <w:p w:rsidR="00FA64BA" w:rsidRDefault="00FA64BA" w:rsidP="00410B7F">
      <w:pPr>
        <w:tabs>
          <w:tab w:val="left" w:pos="7654"/>
        </w:tabs>
        <w:spacing w:line="360" w:lineRule="auto"/>
        <w:ind w:right="-1"/>
      </w:pPr>
      <w:r>
        <w:t xml:space="preserve">Beim Blick auf die Technologien wird deutlich, dass </w:t>
      </w:r>
      <w:r w:rsidR="005E3789">
        <w:t>speziell</w:t>
      </w:r>
      <w:r>
        <w:t xml:space="preserve"> </w:t>
      </w:r>
      <w:r w:rsidR="00787783">
        <w:t>das Projektg</w:t>
      </w:r>
      <w:r w:rsidR="00787783">
        <w:t>e</w:t>
      </w:r>
      <w:r w:rsidR="00787783">
        <w:t xml:space="preserve">schäft in der Umformtechnik </w:t>
      </w:r>
      <w:r w:rsidR="005E3789">
        <w:t xml:space="preserve">rückläufig ist, </w:t>
      </w:r>
      <w:r w:rsidR="00787783">
        <w:t>ausgelöst durch einen schwachen Monat Sep</w:t>
      </w:r>
      <w:r w:rsidR="005E3789">
        <w:t>tember</w:t>
      </w:r>
      <w:r w:rsidR="00787783">
        <w:t>.</w:t>
      </w:r>
      <w:r w:rsidR="00E830ED">
        <w:t xml:space="preserve"> Generell ist </w:t>
      </w:r>
      <w:r w:rsidR="00787783">
        <w:t>die Nachfra</w:t>
      </w:r>
      <w:r w:rsidR="00E830ED">
        <w:t>ge in diesem Segment</w:t>
      </w:r>
      <w:r w:rsidR="00787783">
        <w:t xml:space="preserve"> von starken Zyklen geprägt</w:t>
      </w:r>
      <w:r w:rsidR="00E830ED">
        <w:t>, ausgelöst durch das Beschaffungsverhalten des größten A</w:t>
      </w:r>
      <w:r w:rsidR="00E830ED">
        <w:t>b</w:t>
      </w:r>
      <w:r w:rsidR="00E830ED">
        <w:t>nehmers Automobilindustrie</w:t>
      </w:r>
      <w:r w:rsidR="00787783">
        <w:t>.</w:t>
      </w:r>
      <w:r w:rsidR="00E830ED">
        <w:t xml:space="preserve"> </w:t>
      </w:r>
      <w:r w:rsidR="00787783" w:rsidRPr="00787783">
        <w:t xml:space="preserve">Die </w:t>
      </w:r>
      <w:r w:rsidR="00CF0684" w:rsidRPr="00787783">
        <w:t xml:space="preserve">Umformtechnik </w:t>
      </w:r>
      <w:r w:rsidR="00C46238" w:rsidRPr="00787783">
        <w:t>trägt</w:t>
      </w:r>
      <w:r w:rsidR="00787783" w:rsidRPr="00787783">
        <w:t xml:space="preserve"> </w:t>
      </w:r>
      <w:r w:rsidR="00CF0684" w:rsidRPr="00787783">
        <w:t xml:space="preserve">mit einem Anteil von 25 bis </w:t>
      </w:r>
      <w:r w:rsidRPr="00787783">
        <w:t xml:space="preserve">30 Prozent </w:t>
      </w:r>
      <w:r w:rsidR="00C46238" w:rsidRPr="00787783">
        <w:t xml:space="preserve">zur </w:t>
      </w:r>
      <w:r w:rsidRPr="00787783">
        <w:t>Ge</w:t>
      </w:r>
      <w:r w:rsidR="00C46238" w:rsidRPr="00787783">
        <w:t>samtproduktion bei</w:t>
      </w:r>
      <w:r w:rsidRPr="00787783">
        <w:t>.</w:t>
      </w:r>
      <w:r>
        <w:t xml:space="preserve"> </w:t>
      </w:r>
    </w:p>
    <w:p w:rsidR="00AC372C" w:rsidRDefault="00AC372C" w:rsidP="00410B7F">
      <w:pPr>
        <w:tabs>
          <w:tab w:val="left" w:pos="7654"/>
        </w:tabs>
        <w:spacing w:line="360" w:lineRule="auto"/>
        <w:ind w:right="-1"/>
      </w:pPr>
    </w:p>
    <w:p w:rsidR="00C46238" w:rsidRPr="00787783" w:rsidRDefault="00FA64BA" w:rsidP="002B4594">
      <w:pPr>
        <w:spacing w:line="360" w:lineRule="auto"/>
        <w:ind w:right="283"/>
      </w:pPr>
      <w:r w:rsidRPr="00787783">
        <w:t xml:space="preserve">Der Umsatz schloss in den ersten drei Quartalen mit minus 6 Prozent. „Vor diesem Hintergrund </w:t>
      </w:r>
      <w:r w:rsidR="009E2ABF" w:rsidRPr="00787783">
        <w:t xml:space="preserve">und der schwachen Auftragseingangsentwicklung </w:t>
      </w:r>
      <w:r w:rsidRPr="00787783">
        <w:t xml:space="preserve">müssen wir unsere </w:t>
      </w:r>
      <w:r w:rsidR="00787783" w:rsidRPr="00787783">
        <w:t xml:space="preserve">Produktionsprognose 2014 von 3 Prozent Zuwachs, die noch im ersten Halbjahr sehr realistisch war, </w:t>
      </w:r>
      <w:r w:rsidR="00C46238" w:rsidRPr="00787783">
        <w:t xml:space="preserve">nun doch </w:t>
      </w:r>
      <w:r w:rsidRPr="00787783">
        <w:t xml:space="preserve">zurücknehmen“, sagt VDW-Geschäftsführer Wilfried Schäfer. </w:t>
      </w:r>
      <w:r w:rsidR="00C46238" w:rsidRPr="00787783">
        <w:t xml:space="preserve">Der VDW geht nunmehr für 2014 von </w:t>
      </w:r>
      <w:r w:rsidR="009E2ABF" w:rsidRPr="00787783">
        <w:t xml:space="preserve">einer </w:t>
      </w:r>
      <w:r w:rsidR="00406180" w:rsidRPr="00787783">
        <w:t xml:space="preserve">Querbewegung </w:t>
      </w:r>
      <w:r w:rsidR="005E3789">
        <w:t>des</w:t>
      </w:r>
      <w:r w:rsidR="00406180" w:rsidRPr="00787783">
        <w:t xml:space="preserve"> Produktion</w:t>
      </w:r>
      <w:r w:rsidR="005E3789">
        <w:t>sverlaufs aus</w:t>
      </w:r>
      <w:r w:rsidR="00C46238" w:rsidRPr="00787783">
        <w:t>.</w:t>
      </w:r>
      <w:r w:rsidR="009E2ABF" w:rsidRPr="00787783">
        <w:t xml:space="preserve"> Da</w:t>
      </w:r>
      <w:r w:rsidR="005E3789">
        <w:t xml:space="preserve">mit würde das Ergebnis </w:t>
      </w:r>
      <w:r w:rsidR="009E2ABF" w:rsidRPr="00787783">
        <w:t xml:space="preserve">weiter </w:t>
      </w:r>
      <w:r w:rsidR="00036631">
        <w:t xml:space="preserve">auf dem hohen Vorjahresniveau von </w:t>
      </w:r>
      <w:r w:rsidR="009E2ABF" w:rsidRPr="00787783">
        <w:t>14,6 Mrd. Euro liegen.</w:t>
      </w:r>
    </w:p>
    <w:p w:rsidR="00C46238" w:rsidRDefault="00C46238" w:rsidP="002B4594">
      <w:pPr>
        <w:spacing w:line="360" w:lineRule="auto"/>
        <w:ind w:right="283"/>
      </w:pPr>
    </w:p>
    <w:p w:rsidR="008869FB" w:rsidRPr="001D7DF6" w:rsidRDefault="008869FB" w:rsidP="008869FB">
      <w:pPr>
        <w:pStyle w:val="Textkrper2"/>
        <w:tabs>
          <w:tab w:val="left" w:pos="7654"/>
        </w:tabs>
        <w:ind w:right="-1"/>
        <w:rPr>
          <w:b/>
          <w:sz w:val="16"/>
          <w:szCs w:val="16"/>
        </w:rPr>
      </w:pPr>
      <w:r w:rsidRPr="001D7DF6">
        <w:rPr>
          <w:b/>
          <w:sz w:val="16"/>
          <w:szCs w:val="16"/>
        </w:rPr>
        <w:t>Hintergrund</w:t>
      </w:r>
    </w:p>
    <w:p w:rsidR="008869FB" w:rsidRDefault="008869FB" w:rsidP="008869FB">
      <w:pPr>
        <w:pStyle w:val="Textkrper2"/>
        <w:tabs>
          <w:tab w:val="left" w:pos="7654"/>
        </w:tabs>
        <w:ind w:right="-1"/>
        <w:rPr>
          <w:sz w:val="16"/>
          <w:szCs w:val="16"/>
        </w:rPr>
      </w:pPr>
      <w:r>
        <w:rPr>
          <w:sz w:val="16"/>
          <w:szCs w:val="16"/>
        </w:rPr>
        <w:t>Die deutsche Werkzeugmaschinenindustrie gehört zu den fünf größten Fachzweigen im Maschinenbau. Sie liefert Produktionstechnologie für die Metallbearbeitung in alle Industriezweige und trägt maßgeblich zu I</w:t>
      </w:r>
      <w:r>
        <w:rPr>
          <w:sz w:val="16"/>
          <w:szCs w:val="16"/>
        </w:rPr>
        <w:t>n</w:t>
      </w:r>
      <w:r>
        <w:rPr>
          <w:sz w:val="16"/>
          <w:szCs w:val="16"/>
        </w:rPr>
        <w:t>novation und Produktivitätsfortschritt in der Industrie bei. Durch ihre absolute Schlüsselstellung für die i</w:t>
      </w:r>
      <w:r>
        <w:rPr>
          <w:sz w:val="16"/>
          <w:szCs w:val="16"/>
        </w:rPr>
        <w:t>n</w:t>
      </w:r>
      <w:r>
        <w:rPr>
          <w:sz w:val="16"/>
          <w:szCs w:val="16"/>
        </w:rPr>
        <w:t>dustrielle Produ</w:t>
      </w:r>
      <w:r w:rsidR="00B722EE">
        <w:rPr>
          <w:sz w:val="16"/>
          <w:szCs w:val="16"/>
        </w:rPr>
        <w:t xml:space="preserve">ktion ist ihre Entwicklung </w:t>
      </w:r>
      <w:r>
        <w:rPr>
          <w:sz w:val="16"/>
          <w:szCs w:val="16"/>
        </w:rPr>
        <w:t>ein wichtiger Indikator für die wirtschaftliche Dynamik der gesa</w:t>
      </w:r>
      <w:r>
        <w:rPr>
          <w:sz w:val="16"/>
          <w:szCs w:val="16"/>
        </w:rPr>
        <w:t>m</w:t>
      </w:r>
      <w:r>
        <w:rPr>
          <w:sz w:val="16"/>
          <w:szCs w:val="16"/>
        </w:rPr>
        <w:t>ten Industrie. 201</w:t>
      </w:r>
      <w:r w:rsidR="002218C7">
        <w:rPr>
          <w:sz w:val="16"/>
          <w:szCs w:val="16"/>
        </w:rPr>
        <w:t>3</w:t>
      </w:r>
      <w:r>
        <w:rPr>
          <w:sz w:val="16"/>
          <w:szCs w:val="16"/>
        </w:rPr>
        <w:t xml:space="preserve"> produzierte die </w:t>
      </w:r>
      <w:r w:rsidR="00A77607">
        <w:rPr>
          <w:sz w:val="16"/>
          <w:szCs w:val="16"/>
        </w:rPr>
        <w:t>Branche</w:t>
      </w:r>
      <w:r w:rsidR="002218C7">
        <w:rPr>
          <w:sz w:val="16"/>
          <w:szCs w:val="16"/>
        </w:rPr>
        <w:t xml:space="preserve"> mit rd. 71</w:t>
      </w:r>
      <w:r>
        <w:rPr>
          <w:sz w:val="16"/>
          <w:szCs w:val="16"/>
        </w:rPr>
        <w:t> </w:t>
      </w:r>
      <w:r w:rsidR="002218C7">
        <w:rPr>
          <w:sz w:val="16"/>
          <w:szCs w:val="16"/>
        </w:rPr>
        <w:t>600</w:t>
      </w:r>
      <w:r>
        <w:rPr>
          <w:sz w:val="16"/>
          <w:szCs w:val="16"/>
        </w:rPr>
        <w:t xml:space="preserve"> Beschäftigten (Stand: </w:t>
      </w:r>
      <w:r w:rsidR="00A77607">
        <w:rPr>
          <w:sz w:val="16"/>
          <w:szCs w:val="16"/>
        </w:rPr>
        <w:t>Dezem</w:t>
      </w:r>
      <w:r w:rsidR="002218C7">
        <w:rPr>
          <w:sz w:val="16"/>
          <w:szCs w:val="16"/>
        </w:rPr>
        <w:t>ber 2013</w:t>
      </w:r>
      <w:r>
        <w:rPr>
          <w:sz w:val="16"/>
          <w:szCs w:val="16"/>
        </w:rPr>
        <w:t>, Betriebe mit mehr als 20 Mitarbeitern) Maschinen und Dienstl</w:t>
      </w:r>
      <w:r w:rsidR="00A77607">
        <w:rPr>
          <w:sz w:val="16"/>
          <w:szCs w:val="16"/>
        </w:rPr>
        <w:t xml:space="preserve">eistungen im Wert von rd. </w:t>
      </w:r>
      <w:r w:rsidR="00CD42BD">
        <w:rPr>
          <w:sz w:val="16"/>
          <w:szCs w:val="16"/>
        </w:rPr>
        <w:t>14,</w:t>
      </w:r>
      <w:r w:rsidR="005E3789">
        <w:rPr>
          <w:sz w:val="16"/>
          <w:szCs w:val="16"/>
        </w:rPr>
        <w:t>6</w:t>
      </w:r>
      <w:r w:rsidR="00A7760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Mrd. Euro. </w:t>
      </w:r>
      <w:r w:rsidR="00410B7F">
        <w:rPr>
          <w:sz w:val="16"/>
          <w:szCs w:val="16"/>
        </w:rPr>
        <w:t>Da</w:t>
      </w:r>
      <w:r w:rsidR="00CD42BD">
        <w:rPr>
          <w:sz w:val="16"/>
          <w:szCs w:val="16"/>
        </w:rPr>
        <w:t>s en</w:t>
      </w:r>
      <w:r w:rsidR="00CD42BD">
        <w:rPr>
          <w:sz w:val="16"/>
          <w:szCs w:val="16"/>
        </w:rPr>
        <w:t>t</w:t>
      </w:r>
      <w:r w:rsidR="002218C7">
        <w:rPr>
          <w:sz w:val="16"/>
          <w:szCs w:val="16"/>
        </w:rPr>
        <w:t>sprach einem Zuwachs von 2</w:t>
      </w:r>
      <w:r w:rsidR="00410B7F">
        <w:rPr>
          <w:sz w:val="16"/>
          <w:szCs w:val="16"/>
        </w:rPr>
        <w:t xml:space="preserve"> Prozent.</w:t>
      </w:r>
    </w:p>
    <w:p w:rsidR="008869FB" w:rsidRDefault="008869FB" w:rsidP="008869FB">
      <w:pPr>
        <w:tabs>
          <w:tab w:val="left" w:pos="7654"/>
        </w:tabs>
        <w:spacing w:line="360" w:lineRule="auto"/>
        <w:ind w:right="-1"/>
      </w:pPr>
    </w:p>
    <w:p w:rsidR="008869FB" w:rsidRDefault="008869FB" w:rsidP="008869FB">
      <w:pPr>
        <w:spacing w:line="360" w:lineRule="auto"/>
        <w:ind w:right="-568"/>
      </w:pPr>
      <w:r>
        <w:t xml:space="preserve">Bild: </w:t>
      </w:r>
    </w:p>
    <w:p w:rsidR="008869FB" w:rsidRDefault="008869FB" w:rsidP="008869FB">
      <w:pPr>
        <w:spacing w:line="360" w:lineRule="auto"/>
        <w:ind w:right="-568"/>
      </w:pPr>
      <w:r>
        <w:t>Dr. Wilfried Schäfer, Geschäftsführer VDW (Verein Deutscher Werkzeugmaschine</w:t>
      </w:r>
      <w:r>
        <w:t>n</w:t>
      </w:r>
      <w:r>
        <w:t>fabriken), Frankfurt am Main</w:t>
      </w:r>
    </w:p>
    <w:p w:rsidR="008869FB" w:rsidRDefault="008869FB" w:rsidP="008869FB">
      <w:pPr>
        <w:tabs>
          <w:tab w:val="left" w:pos="1183"/>
        </w:tabs>
        <w:spacing w:line="360" w:lineRule="auto"/>
        <w:ind w:right="-568"/>
      </w:pPr>
      <w:r>
        <w:tab/>
      </w:r>
    </w:p>
    <w:p w:rsidR="008869FB" w:rsidRDefault="008869FB" w:rsidP="002F3C10">
      <w:pPr>
        <w:spacing w:line="360" w:lineRule="auto"/>
        <w:ind w:right="-568"/>
      </w:pPr>
      <w:r>
        <w:t xml:space="preserve">Grafik: Auftragseingang und Umsatz in der deutschen Werkzeugmaschinenindustrie </w:t>
      </w:r>
    </w:p>
    <w:sectPr w:rsidR="008869FB" w:rsidSect="008869F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-2665" w:right="2835" w:bottom="1134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88" w:rsidRDefault="005D0E88">
      <w:r>
        <w:separator/>
      </w:r>
    </w:p>
  </w:endnote>
  <w:endnote w:type="continuationSeparator" w:id="0">
    <w:p w:rsidR="005D0E88" w:rsidRDefault="005D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88" w:rsidRDefault="005D0E88">
    <w:pPr>
      <w:pStyle w:val="Fuzeile"/>
      <w:spacing w:line="2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88" w:rsidRDefault="005D0E88" w:rsidP="0050117F">
    <w:pPr>
      <w:pStyle w:val="Fuzeile"/>
    </w:pPr>
  </w:p>
  <w:tbl>
    <w:tblPr>
      <w:tblW w:w="986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42"/>
      <w:gridCol w:w="2548"/>
      <w:gridCol w:w="2799"/>
      <w:gridCol w:w="2077"/>
    </w:tblGrid>
    <w:tr w:rsidR="005D0E88" w:rsidRPr="00D84A68">
      <w:tc>
        <w:tcPr>
          <w:tcW w:w="2442" w:type="dxa"/>
        </w:tcPr>
        <w:p w:rsidR="005D0E88" w:rsidRPr="00362226" w:rsidRDefault="005D0E88" w:rsidP="000012C6">
          <w:pPr>
            <w:spacing w:line="160" w:lineRule="exact"/>
            <w:rPr>
              <w:sz w:val="14"/>
            </w:rPr>
          </w:pPr>
          <w:r w:rsidRPr="00362226">
            <w:rPr>
              <w:sz w:val="14"/>
            </w:rPr>
            <w:t>Verein Deutscher</w:t>
          </w:r>
        </w:p>
        <w:p w:rsidR="005D0E88" w:rsidRPr="00362226" w:rsidRDefault="005D0E88" w:rsidP="000012C6">
          <w:pPr>
            <w:spacing w:line="160" w:lineRule="exact"/>
            <w:rPr>
              <w:sz w:val="14"/>
            </w:rPr>
          </w:pPr>
          <w:r w:rsidRPr="00362226">
            <w:rPr>
              <w:sz w:val="14"/>
            </w:rPr>
            <w:t>Werkzeugmaschinenfabriken e.V.</w:t>
          </w:r>
        </w:p>
        <w:p w:rsidR="005D0E88" w:rsidRDefault="005D0E88" w:rsidP="000012C6">
          <w:pPr>
            <w:spacing w:line="160" w:lineRule="exact"/>
            <w:rPr>
              <w:sz w:val="14"/>
            </w:rPr>
          </w:pPr>
        </w:p>
      </w:tc>
      <w:tc>
        <w:tcPr>
          <w:tcW w:w="2548" w:type="dxa"/>
        </w:tcPr>
        <w:p w:rsidR="005D0E88" w:rsidRDefault="005D0E88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Vorsitzende</w:t>
          </w:r>
          <w:r w:rsidRPr="009F2281">
            <w:rPr>
              <w:spacing w:val="20"/>
              <w:sz w:val="14"/>
              <w:szCs w:val="14"/>
            </w:rPr>
            <w:t>r/</w:t>
          </w:r>
          <w:r>
            <w:rPr>
              <w:sz w:val="14"/>
            </w:rPr>
            <w:t>Chairman:</w:t>
          </w:r>
        </w:p>
        <w:p w:rsidR="005D0E88" w:rsidRDefault="005D0E88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Martin Kapp</w:t>
          </w:r>
        </w:p>
        <w:p w:rsidR="005D0E88" w:rsidRDefault="005D0E88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Geschäftsführe</w:t>
          </w:r>
          <w:r w:rsidRPr="009F2281">
            <w:rPr>
              <w:spacing w:val="20"/>
              <w:sz w:val="14"/>
              <w:szCs w:val="14"/>
            </w:rPr>
            <w:t>r/</w:t>
          </w:r>
          <w:r>
            <w:rPr>
              <w:sz w:val="14"/>
            </w:rPr>
            <w:t xml:space="preserve">Executive </w:t>
          </w:r>
          <w:proofErr w:type="spellStart"/>
          <w:r>
            <w:rPr>
              <w:sz w:val="14"/>
            </w:rPr>
            <w:t>Director</w:t>
          </w:r>
          <w:proofErr w:type="spellEnd"/>
          <w:r>
            <w:rPr>
              <w:sz w:val="14"/>
            </w:rPr>
            <w:t>:</w:t>
          </w:r>
        </w:p>
        <w:p w:rsidR="005D0E88" w:rsidRDefault="005D0E88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Dr.-Ing. Wilfried Schäfer</w:t>
          </w:r>
        </w:p>
      </w:tc>
      <w:tc>
        <w:tcPr>
          <w:tcW w:w="2799" w:type="dxa"/>
        </w:tcPr>
        <w:p w:rsidR="005D0E88" w:rsidRDefault="005D0E88" w:rsidP="000012C6">
          <w:pPr>
            <w:tabs>
              <w:tab w:val="left" w:pos="539"/>
            </w:tabs>
            <w:spacing w:line="160" w:lineRule="exact"/>
            <w:rPr>
              <w:sz w:val="14"/>
            </w:rPr>
          </w:pPr>
          <w:r>
            <w:rPr>
              <w:sz w:val="14"/>
            </w:rPr>
            <w:t>Registergerich</w:t>
          </w:r>
          <w:r w:rsidRPr="009F2281">
            <w:rPr>
              <w:spacing w:val="20"/>
              <w:sz w:val="14"/>
              <w:szCs w:val="14"/>
            </w:rPr>
            <w:t>t/</w:t>
          </w:r>
          <w:r>
            <w:rPr>
              <w:sz w:val="14"/>
            </w:rPr>
            <w:t>Registration Office: Amtsg</w:t>
          </w:r>
          <w:r>
            <w:rPr>
              <w:sz w:val="14"/>
            </w:rPr>
            <w:t>e</w:t>
          </w:r>
          <w:r>
            <w:rPr>
              <w:sz w:val="14"/>
            </w:rPr>
            <w:t>richt Frankfurt am Main</w:t>
          </w:r>
        </w:p>
        <w:p w:rsidR="005D0E88" w:rsidRPr="0052444D" w:rsidRDefault="005D0E88" w:rsidP="000012C6">
          <w:pPr>
            <w:tabs>
              <w:tab w:val="left" w:pos="539"/>
            </w:tabs>
            <w:spacing w:line="160" w:lineRule="exact"/>
            <w:rPr>
              <w:sz w:val="14"/>
              <w:lang w:val="en-GB"/>
            </w:rPr>
          </w:pPr>
          <w:proofErr w:type="spellStart"/>
          <w:r w:rsidRPr="0052444D">
            <w:rPr>
              <w:sz w:val="14"/>
              <w:lang w:val="en-GB"/>
            </w:rPr>
            <w:t>Vereinsregiste</w:t>
          </w:r>
          <w:r w:rsidRPr="0052444D">
            <w:rPr>
              <w:spacing w:val="20"/>
              <w:sz w:val="14"/>
              <w:szCs w:val="14"/>
              <w:lang w:val="en-GB"/>
            </w:rPr>
            <w:t>r</w:t>
          </w:r>
          <w:proofErr w:type="spellEnd"/>
          <w:r w:rsidRPr="0052444D">
            <w:rPr>
              <w:spacing w:val="20"/>
              <w:sz w:val="14"/>
              <w:szCs w:val="14"/>
              <w:lang w:val="en-GB"/>
            </w:rPr>
            <w:t>/</w:t>
          </w:r>
          <w:r w:rsidRPr="0052444D">
            <w:rPr>
              <w:sz w:val="14"/>
              <w:lang w:val="en-GB"/>
            </w:rPr>
            <w:t>Society Register: VR4966</w:t>
          </w:r>
        </w:p>
        <w:p w:rsidR="005D0E88" w:rsidRPr="0052444D" w:rsidRDefault="005D0E88" w:rsidP="000012C6">
          <w:pPr>
            <w:tabs>
              <w:tab w:val="left" w:pos="539"/>
            </w:tabs>
            <w:spacing w:line="160" w:lineRule="exact"/>
            <w:rPr>
              <w:sz w:val="14"/>
              <w:szCs w:val="14"/>
              <w:lang w:val="en-GB"/>
            </w:rPr>
          </w:pPr>
          <w:r w:rsidRPr="0052444D">
            <w:rPr>
              <w:sz w:val="14"/>
              <w:szCs w:val="14"/>
              <w:lang w:val="en-GB"/>
            </w:rPr>
            <w:t>Ust.ID-Nr</w:t>
          </w:r>
          <w:r w:rsidRPr="0052444D">
            <w:rPr>
              <w:spacing w:val="20"/>
              <w:sz w:val="14"/>
              <w:szCs w:val="14"/>
              <w:lang w:val="en-GB"/>
            </w:rPr>
            <w:t>./</w:t>
          </w:r>
          <w:r w:rsidRPr="0052444D">
            <w:rPr>
              <w:sz w:val="14"/>
              <w:szCs w:val="14"/>
              <w:lang w:val="en-GB"/>
            </w:rPr>
            <w:t>VAT No.: DE 114 10 88 36</w:t>
          </w:r>
        </w:p>
      </w:tc>
      <w:tc>
        <w:tcPr>
          <w:tcW w:w="2077" w:type="dxa"/>
        </w:tcPr>
        <w:p w:rsidR="005D0E88" w:rsidRPr="0052444D" w:rsidRDefault="005D0E88" w:rsidP="000012C6">
          <w:pPr>
            <w:pStyle w:val="berschrift2"/>
            <w:framePr w:hSpace="0" w:wrap="auto" w:vAnchor="margin" w:hAnchor="text" w:xAlign="left" w:yAlign="inline" w:anchorLock="1"/>
            <w:spacing w:line="160" w:lineRule="exact"/>
            <w:rPr>
              <w:b w:val="0"/>
              <w:lang w:val="en-GB"/>
            </w:rPr>
          </w:pPr>
        </w:p>
      </w:tc>
    </w:tr>
  </w:tbl>
  <w:p w:rsidR="005D0E88" w:rsidRPr="0052444D" w:rsidRDefault="005D0E88" w:rsidP="0050117F">
    <w:pPr>
      <w:pStyle w:val="Fuzeile"/>
      <w:spacing w:line="20" w:lineRule="exact"/>
      <w:rPr>
        <w:sz w:val="2"/>
        <w:lang w:val="en-GB"/>
      </w:rPr>
    </w:pPr>
  </w:p>
  <w:p w:rsidR="005D0E88" w:rsidRPr="003A7790" w:rsidRDefault="005D0E88" w:rsidP="0050117F">
    <w:pPr>
      <w:pStyle w:val="Fuzeile"/>
      <w:spacing w:line="20" w:lineRule="exact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88" w:rsidRDefault="005D0E88">
      <w:r>
        <w:separator/>
      </w:r>
    </w:p>
  </w:footnote>
  <w:footnote w:type="continuationSeparator" w:id="0">
    <w:p w:rsidR="005D0E88" w:rsidRDefault="005D0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608"/>
    </w:tblGrid>
    <w:tr w:rsidR="005D0E88">
      <w:trPr>
        <w:trHeight w:hRule="exact" w:val="1950"/>
      </w:trPr>
      <w:tc>
        <w:tcPr>
          <w:tcW w:w="7655" w:type="dxa"/>
        </w:tcPr>
        <w:p w:rsidR="005D0E88" w:rsidRDefault="005D0E88" w:rsidP="00F945CE"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84A68">
            <w:rPr>
              <w:noProof/>
            </w:rPr>
            <w:t>2</w:t>
          </w:r>
          <w:r>
            <w:fldChar w:fldCharType="end"/>
          </w:r>
          <w:r>
            <w:t>/</w:t>
          </w:r>
          <w:r w:rsidR="00D84A68">
            <w:fldChar w:fldCharType="begin"/>
          </w:r>
          <w:r w:rsidR="00D84A68">
            <w:instrText xml:space="preserve"> NUMPAGES </w:instrText>
          </w:r>
          <w:r w:rsidR="00D84A68">
            <w:fldChar w:fldCharType="separate"/>
          </w:r>
          <w:r w:rsidR="00D84A68">
            <w:rPr>
              <w:noProof/>
            </w:rPr>
            <w:t>2</w:t>
          </w:r>
          <w:r w:rsidR="00D84A68">
            <w:rPr>
              <w:noProof/>
            </w:rPr>
            <w:fldChar w:fldCharType="end"/>
          </w:r>
          <w:r w:rsidR="005345A7">
            <w:t xml:space="preserve"> · VDW </w:t>
          </w:r>
          <w:r>
            <w:fldChar w:fldCharType="begin"/>
          </w:r>
          <w:r>
            <w:instrText xml:space="preserve"> STYLEREF Initials \* MERGEFORMAT </w:instrText>
          </w:r>
          <w:r>
            <w:fldChar w:fldCharType="end"/>
          </w:r>
          <w:r w:rsidR="004F7033">
            <w:t xml:space="preserve"> · Pressemitteilun</w:t>
          </w:r>
          <w:r w:rsidR="00FA64BA">
            <w:t>g 24</w:t>
          </w:r>
          <w:r w:rsidR="00F945CE">
            <w:t>. November</w:t>
          </w:r>
          <w:r w:rsidR="002218C7">
            <w:t xml:space="preserve"> 2014</w:t>
          </w:r>
        </w:p>
      </w:tc>
      <w:tc>
        <w:tcPr>
          <w:tcW w:w="2608" w:type="dxa"/>
        </w:tcPr>
        <w:p w:rsidR="005D0E88" w:rsidRDefault="005D0E88"/>
      </w:tc>
    </w:tr>
  </w:tbl>
  <w:p w:rsidR="005D0E88" w:rsidRDefault="005D0E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48"/>
    </w:tblGrid>
    <w:tr w:rsidR="005D0E88">
      <w:trPr>
        <w:cantSplit/>
        <w:trHeight w:hRule="exact" w:val="1920"/>
      </w:trPr>
      <w:tc>
        <w:tcPr>
          <w:tcW w:w="10348" w:type="dxa"/>
        </w:tcPr>
        <w:p w:rsidR="005D0E88" w:rsidRDefault="00D84A68">
          <w:pPr>
            <w:pStyle w:val="Titel1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7.65pt;height:28.65pt">
                <v:imagedata r:id="rId1" o:title="Grafik1"/>
              </v:shape>
            </w:pict>
          </w:r>
        </w:p>
      </w:tc>
    </w:tr>
  </w:tbl>
  <w:p w:rsidR="005D0E88" w:rsidRDefault="005D0E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uppressSpBfAfterPgBrk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2B9"/>
    <w:rsid w:val="000012C6"/>
    <w:rsid w:val="00027E09"/>
    <w:rsid w:val="00035C77"/>
    <w:rsid w:val="00036631"/>
    <w:rsid w:val="00094CF4"/>
    <w:rsid w:val="000A3C8B"/>
    <w:rsid w:val="000A535B"/>
    <w:rsid w:val="000B072A"/>
    <w:rsid w:val="000D6B28"/>
    <w:rsid w:val="000E6406"/>
    <w:rsid w:val="00126DFE"/>
    <w:rsid w:val="001363FB"/>
    <w:rsid w:val="00146D7A"/>
    <w:rsid w:val="00151DA7"/>
    <w:rsid w:val="00153EC8"/>
    <w:rsid w:val="00160FAD"/>
    <w:rsid w:val="00172A07"/>
    <w:rsid w:val="001A0A28"/>
    <w:rsid w:val="001B1EB5"/>
    <w:rsid w:val="001B2A72"/>
    <w:rsid w:val="001D1B88"/>
    <w:rsid w:val="001F75E5"/>
    <w:rsid w:val="00207216"/>
    <w:rsid w:val="002218C7"/>
    <w:rsid w:val="00225DBE"/>
    <w:rsid w:val="002510F4"/>
    <w:rsid w:val="00256FD8"/>
    <w:rsid w:val="0027554A"/>
    <w:rsid w:val="00284260"/>
    <w:rsid w:val="002864A4"/>
    <w:rsid w:val="00291C32"/>
    <w:rsid w:val="002B4594"/>
    <w:rsid w:val="002D53E9"/>
    <w:rsid w:val="002E3653"/>
    <w:rsid w:val="002E4517"/>
    <w:rsid w:val="002F3C10"/>
    <w:rsid w:val="00335122"/>
    <w:rsid w:val="0034269D"/>
    <w:rsid w:val="003614C5"/>
    <w:rsid w:val="0036666A"/>
    <w:rsid w:val="00372B6E"/>
    <w:rsid w:val="003A7790"/>
    <w:rsid w:val="003B5D90"/>
    <w:rsid w:val="003E0FBA"/>
    <w:rsid w:val="00406180"/>
    <w:rsid w:val="00410B7F"/>
    <w:rsid w:val="0043362F"/>
    <w:rsid w:val="0045618F"/>
    <w:rsid w:val="00484E66"/>
    <w:rsid w:val="00492F1F"/>
    <w:rsid w:val="004B02D3"/>
    <w:rsid w:val="004B542D"/>
    <w:rsid w:val="004C16A0"/>
    <w:rsid w:val="004E5BAC"/>
    <w:rsid w:val="004F7033"/>
    <w:rsid w:val="0050117F"/>
    <w:rsid w:val="005160D5"/>
    <w:rsid w:val="0052444D"/>
    <w:rsid w:val="0052507F"/>
    <w:rsid w:val="005345A7"/>
    <w:rsid w:val="005C217E"/>
    <w:rsid w:val="005D0E88"/>
    <w:rsid w:val="005D1A90"/>
    <w:rsid w:val="005E0450"/>
    <w:rsid w:val="005E3789"/>
    <w:rsid w:val="0062534E"/>
    <w:rsid w:val="00627B4D"/>
    <w:rsid w:val="00633A32"/>
    <w:rsid w:val="006B075C"/>
    <w:rsid w:val="006B62A0"/>
    <w:rsid w:val="006C6336"/>
    <w:rsid w:val="006D0002"/>
    <w:rsid w:val="006D7F99"/>
    <w:rsid w:val="006E3AFB"/>
    <w:rsid w:val="006E7837"/>
    <w:rsid w:val="00725688"/>
    <w:rsid w:val="007645A6"/>
    <w:rsid w:val="007669ED"/>
    <w:rsid w:val="00786827"/>
    <w:rsid w:val="00787783"/>
    <w:rsid w:val="00794D1D"/>
    <w:rsid w:val="007A4D32"/>
    <w:rsid w:val="007B6219"/>
    <w:rsid w:val="008534A1"/>
    <w:rsid w:val="00856F09"/>
    <w:rsid w:val="00876324"/>
    <w:rsid w:val="00884819"/>
    <w:rsid w:val="008869FB"/>
    <w:rsid w:val="00890CBB"/>
    <w:rsid w:val="008B0B46"/>
    <w:rsid w:val="008B1FDA"/>
    <w:rsid w:val="009056F0"/>
    <w:rsid w:val="009170BD"/>
    <w:rsid w:val="009203FE"/>
    <w:rsid w:val="00921165"/>
    <w:rsid w:val="009A6725"/>
    <w:rsid w:val="009B36C1"/>
    <w:rsid w:val="009B4598"/>
    <w:rsid w:val="009D373A"/>
    <w:rsid w:val="009E2ABF"/>
    <w:rsid w:val="009E3F5E"/>
    <w:rsid w:val="00A06D33"/>
    <w:rsid w:val="00A26C42"/>
    <w:rsid w:val="00A77607"/>
    <w:rsid w:val="00AB72B9"/>
    <w:rsid w:val="00AC12DC"/>
    <w:rsid w:val="00AC372C"/>
    <w:rsid w:val="00AE3F88"/>
    <w:rsid w:val="00AF5CCD"/>
    <w:rsid w:val="00B152D4"/>
    <w:rsid w:val="00B1593E"/>
    <w:rsid w:val="00B3214F"/>
    <w:rsid w:val="00B4283A"/>
    <w:rsid w:val="00B722EE"/>
    <w:rsid w:val="00B86B54"/>
    <w:rsid w:val="00BB4E98"/>
    <w:rsid w:val="00BB7BD2"/>
    <w:rsid w:val="00BC6836"/>
    <w:rsid w:val="00BE2F96"/>
    <w:rsid w:val="00BE74FB"/>
    <w:rsid w:val="00C15FAB"/>
    <w:rsid w:val="00C3201E"/>
    <w:rsid w:val="00C46238"/>
    <w:rsid w:val="00C53541"/>
    <w:rsid w:val="00C710CB"/>
    <w:rsid w:val="00C77702"/>
    <w:rsid w:val="00C838A1"/>
    <w:rsid w:val="00C91835"/>
    <w:rsid w:val="00C93918"/>
    <w:rsid w:val="00CB3133"/>
    <w:rsid w:val="00CB5C29"/>
    <w:rsid w:val="00CD42BD"/>
    <w:rsid w:val="00CE0972"/>
    <w:rsid w:val="00CE1A10"/>
    <w:rsid w:val="00CF0684"/>
    <w:rsid w:val="00D14780"/>
    <w:rsid w:val="00D4109F"/>
    <w:rsid w:val="00D50082"/>
    <w:rsid w:val="00D5234E"/>
    <w:rsid w:val="00D84A68"/>
    <w:rsid w:val="00DA5B09"/>
    <w:rsid w:val="00DB3C0E"/>
    <w:rsid w:val="00DC17E9"/>
    <w:rsid w:val="00DC5E3E"/>
    <w:rsid w:val="00DD40E9"/>
    <w:rsid w:val="00DD6AE0"/>
    <w:rsid w:val="00DF2B2F"/>
    <w:rsid w:val="00E155CA"/>
    <w:rsid w:val="00E27AF6"/>
    <w:rsid w:val="00E3021E"/>
    <w:rsid w:val="00E33C93"/>
    <w:rsid w:val="00E34DA1"/>
    <w:rsid w:val="00E35C90"/>
    <w:rsid w:val="00E63616"/>
    <w:rsid w:val="00E757C3"/>
    <w:rsid w:val="00E830ED"/>
    <w:rsid w:val="00E933FD"/>
    <w:rsid w:val="00EA1E84"/>
    <w:rsid w:val="00EA278D"/>
    <w:rsid w:val="00EF0F35"/>
    <w:rsid w:val="00F01E07"/>
    <w:rsid w:val="00F309BC"/>
    <w:rsid w:val="00F4518E"/>
    <w:rsid w:val="00F8109A"/>
    <w:rsid w:val="00F945CE"/>
    <w:rsid w:val="00FA64BA"/>
    <w:rsid w:val="00FB1D89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534A1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0117F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widowControl w:val="0"/>
      <w:spacing w:line="600" w:lineRule="exact"/>
      <w:ind w:right="284"/>
      <w:jc w:val="right"/>
    </w:pPr>
    <w:rPr>
      <w:rFonts w:ascii="Arial" w:hAnsi="Arial"/>
      <w:noProof/>
      <w:sz w:val="22"/>
      <w:lang w:eastAsia="de-DE"/>
    </w:rPr>
  </w:style>
  <w:style w:type="paragraph" w:styleId="Fuzeile">
    <w:name w:val="footer"/>
    <w:basedOn w:val="Standard"/>
    <w:rPr>
      <w:sz w:val="16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character" w:customStyle="1" w:styleId="berschrift1Zchn">
    <w:name w:val="Überschrift 1 Zchn"/>
    <w:link w:val="berschrift1"/>
    <w:rsid w:val="008534A1"/>
    <w:rPr>
      <w:rFonts w:ascii="Cambria" w:eastAsia="SimSun" w:hAnsi="Cambria" w:cs="Times New Roman"/>
      <w:b/>
      <w:bCs/>
      <w:kern w:val="32"/>
      <w:sz w:val="32"/>
      <w:szCs w:val="32"/>
      <w:lang w:eastAsia="de-DE"/>
    </w:rPr>
  </w:style>
  <w:style w:type="paragraph" w:styleId="Textkrper2">
    <w:name w:val="Body Text 2"/>
    <w:basedOn w:val="Standard"/>
    <w:link w:val="Textkrper2Zchn"/>
    <w:rsid w:val="008869FB"/>
    <w:pPr>
      <w:spacing w:line="360" w:lineRule="auto"/>
      <w:ind w:right="1700"/>
    </w:pPr>
    <w:rPr>
      <w:rFonts w:cs="Arial"/>
      <w:szCs w:val="22"/>
    </w:rPr>
  </w:style>
  <w:style w:type="character" w:customStyle="1" w:styleId="Textkrper2Zchn">
    <w:name w:val="Textkörper 2 Zchn"/>
    <w:basedOn w:val="Absatz-Standardschriftart"/>
    <w:link w:val="Textkrper2"/>
    <w:rsid w:val="008869FB"/>
    <w:rPr>
      <w:rFonts w:ascii="Arial" w:hAnsi="Arial" w:cs="Arial"/>
      <w:kern w:val="4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rsid w:val="006B0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075C"/>
    <w:rPr>
      <w:rFonts w:ascii="Tahoma" w:hAnsi="Tahoma" w:cs="Tahoma"/>
      <w:kern w:val="4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becker\Anwendungsdaten\Microsoft\Templates\vdw\for_vdw_pm_2012-0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9D72-3643-44BC-AE62-618AC4CB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for_vdw_pm_2012-02.dotx</Template>
  <TotalTime>0</TotalTime>
  <Pages>2</Pages>
  <Words>514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sth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Becker, Sylke</dc:creator>
  <cp:keywords/>
  <cp:lastModifiedBy>Iris Reinhart</cp:lastModifiedBy>
  <cp:revision>8</cp:revision>
  <cp:lastPrinted>2014-11-24T07:46:00Z</cp:lastPrinted>
  <dcterms:created xsi:type="dcterms:W3CDTF">2014-11-20T11:03:00Z</dcterms:created>
  <dcterms:modified xsi:type="dcterms:W3CDTF">2014-11-24T07:47:00Z</dcterms:modified>
</cp:coreProperties>
</file>