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281" w:rsidRDefault="00903281">
      <w:bookmarkStart w:id="0" w:name="_GoBack"/>
      <w:bookmarkEnd w:id="0"/>
    </w:p>
    <w:p w:rsidR="00E85100" w:rsidRDefault="00E85100"/>
    <w:p w:rsidR="00E85100" w:rsidRDefault="00E85100"/>
    <w:p w:rsidR="00E85100" w:rsidRDefault="00E85100"/>
    <w:tbl>
      <w:tblPr>
        <w:tblW w:w="10348" w:type="dxa"/>
        <w:tblInd w:w="8" w:type="dxa"/>
        <w:tblLayout w:type="fixed"/>
        <w:tblCellMar>
          <w:left w:w="0" w:type="dxa"/>
          <w:right w:w="0" w:type="dxa"/>
        </w:tblCellMar>
        <w:tblLook w:val="0000" w:firstRow="0" w:lastRow="0" w:firstColumn="0" w:lastColumn="0" w:noHBand="0" w:noVBand="0"/>
      </w:tblPr>
      <w:tblGrid>
        <w:gridCol w:w="1134"/>
        <w:gridCol w:w="6521"/>
        <w:gridCol w:w="2693"/>
      </w:tblGrid>
      <w:tr w:rsidR="00F01E07" w:rsidTr="00903281">
        <w:trPr>
          <w:cantSplit/>
          <w:trHeight w:hRule="exact" w:val="480"/>
        </w:trPr>
        <w:tc>
          <w:tcPr>
            <w:tcW w:w="7655" w:type="dxa"/>
            <w:gridSpan w:val="2"/>
          </w:tcPr>
          <w:p w:rsidR="00F01E07" w:rsidRDefault="00F01E07">
            <w:pPr>
              <w:rPr>
                <w:b/>
                <w:bCs/>
              </w:rPr>
            </w:pPr>
            <w:r>
              <w:rPr>
                <w:b/>
                <w:bCs/>
              </w:rPr>
              <w:t>PRESSEINFORMATION</w:t>
            </w:r>
          </w:p>
        </w:tc>
        <w:tc>
          <w:tcPr>
            <w:tcW w:w="2693" w:type="dxa"/>
            <w:vMerge w:val="restart"/>
          </w:tcPr>
          <w:p w:rsidR="0050117F" w:rsidRDefault="0050117F" w:rsidP="0050117F">
            <w:pPr>
              <w:pStyle w:val="Address"/>
            </w:pPr>
            <w:r>
              <w:t>Corneliusstraße 4</w:t>
            </w:r>
          </w:p>
          <w:p w:rsidR="0050117F" w:rsidRDefault="0050117F" w:rsidP="0050117F">
            <w:pPr>
              <w:pStyle w:val="Address"/>
            </w:pPr>
            <w:r>
              <w:t>60325 Frankfurt am Main</w:t>
            </w:r>
          </w:p>
          <w:p w:rsidR="0050117F" w:rsidRDefault="009170BD" w:rsidP="0050117F">
            <w:pPr>
              <w:pStyle w:val="Address"/>
            </w:pPr>
            <w:r>
              <w:t>GERMANY</w:t>
            </w:r>
          </w:p>
          <w:p w:rsidR="0050117F" w:rsidRDefault="0050117F" w:rsidP="0050117F">
            <w:pPr>
              <w:pStyle w:val="Address"/>
            </w:pPr>
            <w:r>
              <w:t>Telefon</w:t>
            </w:r>
            <w:r>
              <w:tab/>
              <w:t>+49 69 756081-</w:t>
            </w:r>
            <w:r w:rsidR="0052444D">
              <w:t>0</w:t>
            </w:r>
          </w:p>
          <w:p w:rsidR="0050117F" w:rsidRDefault="0050117F" w:rsidP="0050117F">
            <w:pPr>
              <w:pStyle w:val="Address"/>
            </w:pPr>
            <w:r>
              <w:t>Telefax</w:t>
            </w:r>
            <w:r>
              <w:tab/>
              <w:t>+49 69 756081-11</w:t>
            </w:r>
          </w:p>
          <w:p w:rsidR="0050117F" w:rsidRDefault="0050117F" w:rsidP="0050117F">
            <w:pPr>
              <w:pStyle w:val="Address"/>
            </w:pPr>
            <w:r>
              <w:t>E-Mail</w:t>
            </w:r>
            <w:r>
              <w:tab/>
            </w:r>
            <w:r w:rsidR="0052444D">
              <w:t>vdw</w:t>
            </w:r>
            <w:r>
              <w:t>@vdw.de</w:t>
            </w:r>
          </w:p>
          <w:p w:rsidR="0050117F" w:rsidRDefault="0050117F" w:rsidP="0050117F">
            <w:pPr>
              <w:pStyle w:val="Address"/>
            </w:pPr>
            <w:r>
              <w:t>Internet</w:t>
            </w:r>
            <w:r>
              <w:tab/>
              <w:t>www.vdw.de</w:t>
            </w:r>
          </w:p>
          <w:p w:rsidR="0050117F" w:rsidRDefault="0050117F" w:rsidP="0050117F">
            <w:pPr>
              <w:pStyle w:val="Dates"/>
            </w:pPr>
          </w:p>
          <w:p w:rsidR="00F01E07" w:rsidRDefault="00F01E07"/>
          <w:p w:rsidR="00F01E07" w:rsidRDefault="00F01E07">
            <w:pPr>
              <w:pStyle w:val="Initials"/>
            </w:pPr>
          </w:p>
        </w:tc>
      </w:tr>
      <w:tr w:rsidR="00F01E07" w:rsidTr="00903281">
        <w:trPr>
          <w:cantSplit/>
          <w:trHeight w:val="260"/>
        </w:trPr>
        <w:tc>
          <w:tcPr>
            <w:tcW w:w="1134" w:type="dxa"/>
          </w:tcPr>
          <w:p w:rsidR="00F01E07" w:rsidRDefault="00F01E07"/>
        </w:tc>
        <w:tc>
          <w:tcPr>
            <w:tcW w:w="6521" w:type="dxa"/>
          </w:tcPr>
          <w:p w:rsidR="00F01E07" w:rsidRDefault="00F01E07">
            <w:pPr>
              <w:pStyle w:val="Name"/>
            </w:pPr>
          </w:p>
        </w:tc>
        <w:tc>
          <w:tcPr>
            <w:tcW w:w="2693" w:type="dxa"/>
            <w:vMerge/>
            <w:vAlign w:val="center"/>
          </w:tcPr>
          <w:p w:rsidR="00F01E07" w:rsidRDefault="00F01E07"/>
        </w:tc>
      </w:tr>
      <w:tr w:rsidR="00F01E07" w:rsidTr="00903281">
        <w:trPr>
          <w:cantSplit/>
          <w:trHeight w:val="260"/>
        </w:trPr>
        <w:tc>
          <w:tcPr>
            <w:tcW w:w="1134" w:type="dxa"/>
          </w:tcPr>
          <w:p w:rsidR="00F01E07" w:rsidRDefault="00F01E07"/>
        </w:tc>
        <w:tc>
          <w:tcPr>
            <w:tcW w:w="6521" w:type="dxa"/>
          </w:tcPr>
          <w:p w:rsidR="00F01E07" w:rsidRDefault="00F01E07">
            <w:pPr>
              <w:pStyle w:val="Firma"/>
            </w:pPr>
          </w:p>
        </w:tc>
        <w:tc>
          <w:tcPr>
            <w:tcW w:w="2693" w:type="dxa"/>
            <w:vMerge/>
            <w:vAlign w:val="center"/>
          </w:tcPr>
          <w:p w:rsidR="00F01E07" w:rsidRDefault="00F01E07"/>
        </w:tc>
      </w:tr>
      <w:tr w:rsidR="00F01E07" w:rsidTr="00903281">
        <w:trPr>
          <w:cantSplit/>
          <w:trHeight w:val="260"/>
        </w:trPr>
        <w:tc>
          <w:tcPr>
            <w:tcW w:w="1134" w:type="dxa"/>
          </w:tcPr>
          <w:p w:rsidR="00F01E07" w:rsidRDefault="00F01E07"/>
        </w:tc>
        <w:tc>
          <w:tcPr>
            <w:tcW w:w="6521" w:type="dxa"/>
          </w:tcPr>
          <w:p w:rsidR="00F01E07" w:rsidRDefault="00F01E07">
            <w:pPr>
              <w:pStyle w:val="Fax1"/>
              <w:spacing w:line="240" w:lineRule="atLeast"/>
            </w:pPr>
          </w:p>
        </w:tc>
        <w:tc>
          <w:tcPr>
            <w:tcW w:w="2693" w:type="dxa"/>
            <w:vMerge/>
            <w:vAlign w:val="center"/>
          </w:tcPr>
          <w:p w:rsidR="00F01E07" w:rsidRDefault="00F01E07"/>
        </w:tc>
      </w:tr>
      <w:tr w:rsidR="00F01E07" w:rsidTr="00903281">
        <w:trPr>
          <w:cantSplit/>
          <w:trHeight w:val="260"/>
        </w:trPr>
        <w:tc>
          <w:tcPr>
            <w:tcW w:w="1134" w:type="dxa"/>
          </w:tcPr>
          <w:p w:rsidR="00F01E07" w:rsidRDefault="00F01E07"/>
        </w:tc>
        <w:tc>
          <w:tcPr>
            <w:tcW w:w="6521" w:type="dxa"/>
          </w:tcPr>
          <w:p w:rsidR="00F01E07" w:rsidRDefault="00F01E07"/>
        </w:tc>
        <w:tc>
          <w:tcPr>
            <w:tcW w:w="2693" w:type="dxa"/>
            <w:vMerge/>
            <w:vAlign w:val="center"/>
          </w:tcPr>
          <w:p w:rsidR="00F01E07" w:rsidRDefault="00F01E07"/>
        </w:tc>
      </w:tr>
      <w:tr w:rsidR="00F01E07" w:rsidTr="00903281">
        <w:trPr>
          <w:cantSplit/>
          <w:trHeight w:val="260"/>
        </w:trPr>
        <w:tc>
          <w:tcPr>
            <w:tcW w:w="1134" w:type="dxa"/>
          </w:tcPr>
          <w:p w:rsidR="00F01E07" w:rsidRDefault="007B6219">
            <w:r>
              <w:t>V</w:t>
            </w:r>
            <w:r w:rsidR="00F01E07">
              <w:t>on</w:t>
            </w:r>
          </w:p>
        </w:tc>
        <w:tc>
          <w:tcPr>
            <w:tcW w:w="6521" w:type="dxa"/>
          </w:tcPr>
          <w:p w:rsidR="00F01E07" w:rsidRDefault="00F01E07">
            <w:pPr>
              <w:pStyle w:val="Von"/>
              <w:spacing w:line="240" w:lineRule="atLeast"/>
            </w:pPr>
            <w:r>
              <w:t>Sylke Becker</w:t>
            </w:r>
          </w:p>
        </w:tc>
        <w:tc>
          <w:tcPr>
            <w:tcW w:w="2693" w:type="dxa"/>
            <w:vMerge/>
            <w:vAlign w:val="center"/>
          </w:tcPr>
          <w:p w:rsidR="00F01E07" w:rsidRDefault="00F01E07"/>
        </w:tc>
      </w:tr>
      <w:tr w:rsidR="00F01E07" w:rsidTr="00903281">
        <w:trPr>
          <w:cantSplit/>
          <w:trHeight w:val="260"/>
        </w:trPr>
        <w:tc>
          <w:tcPr>
            <w:tcW w:w="1134" w:type="dxa"/>
          </w:tcPr>
          <w:p w:rsidR="00F01E07" w:rsidRDefault="00F01E07">
            <w:r>
              <w:t>Telefon</w:t>
            </w:r>
          </w:p>
        </w:tc>
        <w:tc>
          <w:tcPr>
            <w:tcW w:w="6521" w:type="dxa"/>
          </w:tcPr>
          <w:p w:rsidR="00F01E07" w:rsidRDefault="00F01E07">
            <w:pPr>
              <w:pStyle w:val="Telefon"/>
            </w:pPr>
            <w:r>
              <w:t>+49 69 756081-33</w:t>
            </w:r>
          </w:p>
        </w:tc>
        <w:tc>
          <w:tcPr>
            <w:tcW w:w="2693" w:type="dxa"/>
            <w:vMerge/>
            <w:vAlign w:val="center"/>
          </w:tcPr>
          <w:p w:rsidR="00F01E07" w:rsidRDefault="00F01E07"/>
        </w:tc>
      </w:tr>
      <w:tr w:rsidR="00F01E07" w:rsidTr="00903281">
        <w:trPr>
          <w:cantSplit/>
          <w:trHeight w:val="260"/>
        </w:trPr>
        <w:tc>
          <w:tcPr>
            <w:tcW w:w="1134" w:type="dxa"/>
          </w:tcPr>
          <w:p w:rsidR="00F01E07" w:rsidRDefault="00F01E07">
            <w:r>
              <w:t>Telefax</w:t>
            </w:r>
          </w:p>
        </w:tc>
        <w:tc>
          <w:tcPr>
            <w:tcW w:w="6521" w:type="dxa"/>
          </w:tcPr>
          <w:p w:rsidR="00F01E07" w:rsidRDefault="00F01E07">
            <w:pPr>
              <w:pStyle w:val="Fax2"/>
              <w:spacing w:line="240" w:lineRule="atLeast"/>
            </w:pPr>
            <w:r>
              <w:t>+49 69 756081-11</w:t>
            </w:r>
          </w:p>
        </w:tc>
        <w:tc>
          <w:tcPr>
            <w:tcW w:w="2693" w:type="dxa"/>
            <w:vMerge/>
            <w:vAlign w:val="center"/>
          </w:tcPr>
          <w:p w:rsidR="00F01E07" w:rsidRDefault="00F01E07"/>
        </w:tc>
      </w:tr>
      <w:tr w:rsidR="00F01E07" w:rsidTr="00903281">
        <w:trPr>
          <w:cantSplit/>
          <w:trHeight w:val="260"/>
        </w:trPr>
        <w:tc>
          <w:tcPr>
            <w:tcW w:w="1134" w:type="dxa"/>
          </w:tcPr>
          <w:p w:rsidR="00F01E07" w:rsidRDefault="00F01E07">
            <w:r>
              <w:t>E-Mail</w:t>
            </w:r>
          </w:p>
        </w:tc>
        <w:tc>
          <w:tcPr>
            <w:tcW w:w="6521" w:type="dxa"/>
          </w:tcPr>
          <w:p w:rsidR="00F01E07" w:rsidRDefault="00F01E07">
            <w:pPr>
              <w:pStyle w:val="Page"/>
            </w:pPr>
            <w:r>
              <w:t>s.becker@vdw.de</w:t>
            </w:r>
          </w:p>
        </w:tc>
        <w:tc>
          <w:tcPr>
            <w:tcW w:w="2693" w:type="dxa"/>
            <w:vMerge/>
            <w:vAlign w:val="center"/>
          </w:tcPr>
          <w:p w:rsidR="00F01E07" w:rsidRDefault="00F01E07"/>
        </w:tc>
      </w:tr>
    </w:tbl>
    <w:p w:rsidR="00F01E07" w:rsidRDefault="00F01E07"/>
    <w:p w:rsidR="00E353FC" w:rsidRDefault="0064012C" w:rsidP="0064012C">
      <w:pPr>
        <w:ind w:right="1416"/>
        <w:rPr>
          <w:b/>
          <w:sz w:val="28"/>
          <w:szCs w:val="28"/>
        </w:rPr>
      </w:pPr>
      <w:r w:rsidRPr="0064012C">
        <w:rPr>
          <w:b/>
          <w:sz w:val="28"/>
          <w:szCs w:val="28"/>
        </w:rPr>
        <w:t xml:space="preserve">Deutsche Werkzeugmaschinenindustrie </w:t>
      </w:r>
      <w:r w:rsidR="00E353FC">
        <w:rPr>
          <w:b/>
          <w:sz w:val="28"/>
          <w:szCs w:val="28"/>
        </w:rPr>
        <w:t>erwa</w:t>
      </w:r>
      <w:r w:rsidR="00E353FC">
        <w:rPr>
          <w:b/>
          <w:sz w:val="28"/>
          <w:szCs w:val="28"/>
        </w:rPr>
        <w:t>r</w:t>
      </w:r>
      <w:r w:rsidR="00E353FC">
        <w:rPr>
          <w:b/>
          <w:sz w:val="28"/>
          <w:szCs w:val="28"/>
        </w:rPr>
        <w:t xml:space="preserve">tet Produktionsplus für 2015 </w:t>
      </w:r>
    </w:p>
    <w:p w:rsidR="00F01E07" w:rsidRPr="0064012C" w:rsidRDefault="00E353FC" w:rsidP="0064012C">
      <w:pPr>
        <w:ind w:right="1416"/>
        <w:rPr>
          <w:b/>
        </w:rPr>
      </w:pPr>
      <w:r>
        <w:rPr>
          <w:b/>
        </w:rPr>
        <w:t>Ölpreis</w:t>
      </w:r>
      <w:r w:rsidR="00037D33">
        <w:rPr>
          <w:b/>
        </w:rPr>
        <w:t>- und Euro</w:t>
      </w:r>
      <w:r>
        <w:rPr>
          <w:b/>
        </w:rPr>
        <w:t xml:space="preserve">entwicklung </w:t>
      </w:r>
      <w:r w:rsidR="001E60C4">
        <w:rPr>
          <w:b/>
        </w:rPr>
        <w:t>geben Rückenwind</w:t>
      </w:r>
    </w:p>
    <w:p w:rsidR="00F01E07" w:rsidRPr="0064012C" w:rsidRDefault="00F01E07" w:rsidP="0064012C">
      <w:pPr>
        <w:pStyle w:val="Opening"/>
        <w:ind w:right="1416"/>
        <w:rPr>
          <w:b/>
        </w:rPr>
      </w:pPr>
    </w:p>
    <w:p w:rsidR="00793F13" w:rsidRDefault="0064012C" w:rsidP="00793F13">
      <w:pPr>
        <w:tabs>
          <w:tab w:val="left" w:pos="7654"/>
        </w:tabs>
        <w:spacing w:line="240" w:lineRule="atLeast"/>
        <w:ind w:right="-1"/>
        <w:rPr>
          <w:szCs w:val="22"/>
        </w:rPr>
      </w:pPr>
      <w:bookmarkStart w:id="1" w:name="Text"/>
      <w:bookmarkEnd w:id="1"/>
      <w:r>
        <w:rPr>
          <w:b/>
          <w:szCs w:val="22"/>
        </w:rPr>
        <w:t>Frankfurt am Main, 11. Februar 2015</w:t>
      </w:r>
      <w:r w:rsidR="00E87852" w:rsidRPr="00E87852">
        <w:rPr>
          <w:b/>
          <w:szCs w:val="22"/>
        </w:rPr>
        <w:t>.</w:t>
      </w:r>
      <w:r w:rsidR="00E87852" w:rsidRPr="00E87852">
        <w:rPr>
          <w:szCs w:val="22"/>
        </w:rPr>
        <w:t xml:space="preserve"> </w:t>
      </w:r>
      <w:r>
        <w:rPr>
          <w:szCs w:val="22"/>
        </w:rPr>
        <w:t>–</w:t>
      </w:r>
      <w:r w:rsidR="00E87852" w:rsidRPr="00E87852">
        <w:rPr>
          <w:szCs w:val="22"/>
        </w:rPr>
        <w:t xml:space="preserve"> </w:t>
      </w:r>
      <w:r>
        <w:rPr>
          <w:szCs w:val="22"/>
        </w:rPr>
        <w:t>Die deutsche Werkzeugmaschineni</w:t>
      </w:r>
      <w:r>
        <w:rPr>
          <w:szCs w:val="22"/>
        </w:rPr>
        <w:t>n</w:t>
      </w:r>
      <w:r>
        <w:rPr>
          <w:szCs w:val="22"/>
        </w:rPr>
        <w:t>dustrie erwartet für 2015 ein Produktionsplus von 3 Prozent. „</w:t>
      </w:r>
      <w:r w:rsidR="00100A0F">
        <w:rPr>
          <w:szCs w:val="22"/>
        </w:rPr>
        <w:t>Der niedrige Ö</w:t>
      </w:r>
      <w:r w:rsidR="00100A0F">
        <w:rPr>
          <w:szCs w:val="22"/>
        </w:rPr>
        <w:t>l</w:t>
      </w:r>
      <w:r w:rsidR="00100A0F">
        <w:rPr>
          <w:szCs w:val="22"/>
        </w:rPr>
        <w:t>preis und</w:t>
      </w:r>
      <w:r w:rsidR="001E60C4">
        <w:rPr>
          <w:szCs w:val="22"/>
        </w:rPr>
        <w:t xml:space="preserve"> die Abwertung des Euro belebe</w:t>
      </w:r>
      <w:r w:rsidR="00100A0F">
        <w:rPr>
          <w:szCs w:val="22"/>
        </w:rPr>
        <w:t xml:space="preserve">n </w:t>
      </w:r>
      <w:r w:rsidR="001E60C4">
        <w:rPr>
          <w:szCs w:val="22"/>
        </w:rPr>
        <w:t xml:space="preserve">die </w:t>
      </w:r>
      <w:r w:rsidR="00100A0F">
        <w:rPr>
          <w:szCs w:val="22"/>
        </w:rPr>
        <w:t xml:space="preserve">Investitionen und </w:t>
      </w:r>
      <w:r w:rsidR="001E60C4">
        <w:rPr>
          <w:szCs w:val="22"/>
        </w:rPr>
        <w:t>stä</w:t>
      </w:r>
      <w:r w:rsidR="00491395">
        <w:rPr>
          <w:szCs w:val="22"/>
        </w:rPr>
        <w:t>r</w:t>
      </w:r>
      <w:r w:rsidR="001E60C4">
        <w:rPr>
          <w:szCs w:val="22"/>
        </w:rPr>
        <w:t>k</w:t>
      </w:r>
      <w:r w:rsidR="00100A0F">
        <w:rPr>
          <w:szCs w:val="22"/>
        </w:rPr>
        <w:t xml:space="preserve">en damit </w:t>
      </w:r>
      <w:r w:rsidR="00260128">
        <w:rPr>
          <w:szCs w:val="22"/>
        </w:rPr>
        <w:t xml:space="preserve">auch </w:t>
      </w:r>
      <w:r w:rsidR="00100A0F">
        <w:rPr>
          <w:szCs w:val="22"/>
        </w:rPr>
        <w:t>die</w:t>
      </w:r>
      <w:r w:rsidR="00260128">
        <w:rPr>
          <w:szCs w:val="22"/>
        </w:rPr>
        <w:t xml:space="preserve"> Nachfrage nach </w:t>
      </w:r>
      <w:r w:rsidR="00100A0F">
        <w:rPr>
          <w:szCs w:val="22"/>
        </w:rPr>
        <w:t>Werk</w:t>
      </w:r>
      <w:r w:rsidR="00260128">
        <w:rPr>
          <w:szCs w:val="22"/>
        </w:rPr>
        <w:t>zeugmaschinen</w:t>
      </w:r>
      <w:r w:rsidR="00100A0F">
        <w:rPr>
          <w:szCs w:val="22"/>
        </w:rPr>
        <w:t xml:space="preserve">“, </w:t>
      </w:r>
      <w:r>
        <w:rPr>
          <w:szCs w:val="22"/>
        </w:rPr>
        <w:t>sagt Martin Kapp, Vorsitzender des VDW (Verein Deutscher Werkzeugmaschinenfabriken), anlässlich der Ja</w:t>
      </w:r>
      <w:r>
        <w:rPr>
          <w:szCs w:val="22"/>
        </w:rPr>
        <w:t>h</w:t>
      </w:r>
      <w:r>
        <w:rPr>
          <w:szCs w:val="22"/>
        </w:rPr>
        <w:t xml:space="preserve">respressekonferenz in Frankfurt am Main. </w:t>
      </w:r>
    </w:p>
    <w:p w:rsidR="00686963" w:rsidRDefault="00686963" w:rsidP="00793F13">
      <w:pPr>
        <w:tabs>
          <w:tab w:val="left" w:pos="7654"/>
        </w:tabs>
        <w:spacing w:line="240" w:lineRule="atLeast"/>
        <w:ind w:right="-1"/>
        <w:rPr>
          <w:szCs w:val="22"/>
        </w:rPr>
      </w:pPr>
    </w:p>
    <w:p w:rsidR="00A620F9" w:rsidRDefault="00686963" w:rsidP="001E60C4">
      <w:pPr>
        <w:tabs>
          <w:tab w:val="left" w:pos="7654"/>
        </w:tabs>
        <w:spacing w:line="240" w:lineRule="atLeast"/>
        <w:ind w:right="-1"/>
        <w:rPr>
          <w:szCs w:val="22"/>
        </w:rPr>
      </w:pPr>
      <w:r>
        <w:rPr>
          <w:szCs w:val="22"/>
        </w:rPr>
        <w:t xml:space="preserve">Oxford Economics, </w:t>
      </w:r>
      <w:r w:rsidR="008B768A">
        <w:rPr>
          <w:szCs w:val="22"/>
        </w:rPr>
        <w:t xml:space="preserve">Prognosepartner des VDW, </w:t>
      </w:r>
      <w:r>
        <w:rPr>
          <w:szCs w:val="22"/>
        </w:rPr>
        <w:t>s</w:t>
      </w:r>
      <w:r w:rsidR="00A66B32">
        <w:rPr>
          <w:szCs w:val="22"/>
        </w:rPr>
        <w:t>ieht</w:t>
      </w:r>
      <w:r>
        <w:rPr>
          <w:szCs w:val="22"/>
        </w:rPr>
        <w:t xml:space="preserve"> 2015 </w:t>
      </w:r>
      <w:r w:rsidR="001E60C4">
        <w:rPr>
          <w:szCs w:val="22"/>
        </w:rPr>
        <w:t>eine Besserung</w:t>
      </w:r>
      <w:r w:rsidR="00793F13">
        <w:rPr>
          <w:szCs w:val="22"/>
        </w:rPr>
        <w:t xml:space="preserve"> der Weltkonjunktur. Davon profitieren </w:t>
      </w:r>
      <w:r>
        <w:rPr>
          <w:szCs w:val="22"/>
        </w:rPr>
        <w:t xml:space="preserve">zum einen </w:t>
      </w:r>
      <w:r w:rsidR="00793F13">
        <w:rPr>
          <w:szCs w:val="22"/>
        </w:rPr>
        <w:t>die gro</w:t>
      </w:r>
      <w:r w:rsidR="008B768A">
        <w:rPr>
          <w:szCs w:val="22"/>
        </w:rPr>
        <w:t xml:space="preserve">ßen </w:t>
      </w:r>
      <w:r>
        <w:rPr>
          <w:szCs w:val="22"/>
        </w:rPr>
        <w:t>Anwenderbranchen</w:t>
      </w:r>
      <w:r w:rsidR="00793F13">
        <w:rPr>
          <w:szCs w:val="22"/>
        </w:rPr>
        <w:t xml:space="preserve"> von Werkzeugmaschinen. </w:t>
      </w:r>
      <w:r w:rsidR="00A620F9" w:rsidRPr="00A620F9">
        <w:rPr>
          <w:szCs w:val="22"/>
        </w:rPr>
        <w:t xml:space="preserve">Automobilindustrie und Maschinenbau </w:t>
      </w:r>
      <w:r w:rsidR="008B768A">
        <w:rPr>
          <w:szCs w:val="22"/>
        </w:rPr>
        <w:t>in Deutsc</w:t>
      </w:r>
      <w:r w:rsidR="008B768A">
        <w:rPr>
          <w:szCs w:val="22"/>
        </w:rPr>
        <w:t>h</w:t>
      </w:r>
      <w:r w:rsidR="008B768A">
        <w:rPr>
          <w:szCs w:val="22"/>
        </w:rPr>
        <w:t xml:space="preserve">land </w:t>
      </w:r>
      <w:r w:rsidR="001E60C4">
        <w:rPr>
          <w:szCs w:val="22"/>
        </w:rPr>
        <w:t>– beide zusammen nehmen rd. 70 Prozent der Werkzeugmaschinenpr</w:t>
      </w:r>
      <w:r w:rsidR="001E60C4">
        <w:rPr>
          <w:szCs w:val="22"/>
        </w:rPr>
        <w:t>o</w:t>
      </w:r>
      <w:r w:rsidR="001E60C4">
        <w:rPr>
          <w:szCs w:val="22"/>
        </w:rPr>
        <w:t xml:space="preserve">duktion ab – </w:t>
      </w:r>
      <w:r w:rsidR="00A620F9" w:rsidRPr="00A620F9">
        <w:rPr>
          <w:szCs w:val="22"/>
        </w:rPr>
        <w:t>erwarten jeweils einen Produktionszuwachs</w:t>
      </w:r>
      <w:r>
        <w:rPr>
          <w:szCs w:val="22"/>
        </w:rPr>
        <w:t xml:space="preserve">. </w:t>
      </w:r>
    </w:p>
    <w:p w:rsidR="001E60C4" w:rsidRPr="00EA2E13" w:rsidRDefault="001E60C4" w:rsidP="001E60C4">
      <w:pPr>
        <w:tabs>
          <w:tab w:val="left" w:pos="7654"/>
        </w:tabs>
        <w:spacing w:line="240" w:lineRule="atLeast"/>
        <w:ind w:right="-1"/>
        <w:rPr>
          <w:szCs w:val="22"/>
        </w:rPr>
      </w:pPr>
    </w:p>
    <w:p w:rsidR="00686963" w:rsidRDefault="00686963" w:rsidP="00EA2E13">
      <w:pPr>
        <w:tabs>
          <w:tab w:val="left" w:pos="7654"/>
        </w:tabs>
        <w:spacing w:line="240" w:lineRule="auto"/>
        <w:ind w:right="-1"/>
        <w:rPr>
          <w:szCs w:val="22"/>
        </w:rPr>
      </w:pPr>
      <w:r>
        <w:rPr>
          <w:szCs w:val="22"/>
        </w:rPr>
        <w:t xml:space="preserve">Zum anderen steht </w:t>
      </w:r>
      <w:r w:rsidR="00260128">
        <w:rPr>
          <w:szCs w:val="22"/>
        </w:rPr>
        <w:t xml:space="preserve">2015 </w:t>
      </w:r>
      <w:r w:rsidR="00A620F9" w:rsidRPr="00EA2E13">
        <w:rPr>
          <w:szCs w:val="22"/>
        </w:rPr>
        <w:t>eine moderate weltweite Nachfragebelebung auf bre</w:t>
      </w:r>
      <w:r w:rsidR="00A620F9" w:rsidRPr="00EA2E13">
        <w:rPr>
          <w:szCs w:val="22"/>
        </w:rPr>
        <w:t>i</w:t>
      </w:r>
      <w:r w:rsidR="00A620F9" w:rsidRPr="00EA2E13">
        <w:rPr>
          <w:szCs w:val="22"/>
        </w:rPr>
        <w:t>terer Basis ins Haus. Zugpferd wird Amerika sein</w:t>
      </w:r>
      <w:r w:rsidR="00793F13">
        <w:rPr>
          <w:szCs w:val="22"/>
        </w:rPr>
        <w:t xml:space="preserve">. </w:t>
      </w:r>
      <w:r w:rsidR="00A620F9" w:rsidRPr="00EA2E13">
        <w:rPr>
          <w:szCs w:val="22"/>
        </w:rPr>
        <w:t>Durch Re</w:t>
      </w:r>
      <w:r w:rsidR="001E60C4">
        <w:rPr>
          <w:szCs w:val="22"/>
        </w:rPr>
        <w:t>-I</w:t>
      </w:r>
      <w:r w:rsidR="00A620F9" w:rsidRPr="00EA2E13">
        <w:rPr>
          <w:szCs w:val="22"/>
        </w:rPr>
        <w:t>ndustrialisierungsprozesse in den USA ist eine Marktausweitung über die kla</w:t>
      </w:r>
      <w:r w:rsidR="00A620F9" w:rsidRPr="00EA2E13">
        <w:rPr>
          <w:szCs w:val="22"/>
        </w:rPr>
        <w:t>s</w:t>
      </w:r>
      <w:r w:rsidR="00A620F9" w:rsidRPr="00EA2E13">
        <w:rPr>
          <w:szCs w:val="22"/>
        </w:rPr>
        <w:t>sischen Treiber Automobilindustrie und Flugzeugbau hinaus absehbar. Investit</w:t>
      </w:r>
      <w:r w:rsidR="00A620F9" w:rsidRPr="00EA2E13">
        <w:rPr>
          <w:szCs w:val="22"/>
        </w:rPr>
        <w:t>i</w:t>
      </w:r>
      <w:r w:rsidR="00A620F9" w:rsidRPr="00EA2E13">
        <w:rPr>
          <w:szCs w:val="22"/>
        </w:rPr>
        <w:t>onen der Automobilindustrie unterstreichen</w:t>
      </w:r>
      <w:r w:rsidR="00037D33">
        <w:rPr>
          <w:szCs w:val="22"/>
        </w:rPr>
        <w:t xml:space="preserve"> </w:t>
      </w:r>
      <w:r w:rsidR="001E60C4">
        <w:rPr>
          <w:szCs w:val="22"/>
        </w:rPr>
        <w:t>außer</w:t>
      </w:r>
      <w:r w:rsidR="00037D33">
        <w:rPr>
          <w:szCs w:val="22"/>
        </w:rPr>
        <w:t>dem</w:t>
      </w:r>
      <w:r w:rsidR="00A620F9" w:rsidRPr="00EA2E13">
        <w:rPr>
          <w:szCs w:val="22"/>
        </w:rPr>
        <w:t xml:space="preserve"> die besondere Bede</w:t>
      </w:r>
      <w:r w:rsidR="00A620F9" w:rsidRPr="00EA2E13">
        <w:rPr>
          <w:szCs w:val="22"/>
        </w:rPr>
        <w:t>u</w:t>
      </w:r>
      <w:r w:rsidR="00A620F9" w:rsidRPr="00EA2E13">
        <w:rPr>
          <w:szCs w:val="22"/>
        </w:rPr>
        <w:t>tung des</w:t>
      </w:r>
      <w:r w:rsidR="00260128">
        <w:rPr>
          <w:szCs w:val="22"/>
        </w:rPr>
        <w:t xml:space="preserve"> </w:t>
      </w:r>
      <w:proofErr w:type="spellStart"/>
      <w:r w:rsidR="00260128">
        <w:rPr>
          <w:szCs w:val="22"/>
        </w:rPr>
        <w:t>Nafta</w:t>
      </w:r>
      <w:proofErr w:type="spellEnd"/>
      <w:r w:rsidR="00A620F9" w:rsidRPr="00EA2E13">
        <w:rPr>
          <w:szCs w:val="22"/>
        </w:rPr>
        <w:t xml:space="preserve">-Raums. Ergebnis sind jeweils hohe zweistellige Zuwachsraten bei den Werkzeugmaschinenbestellungen in Deutschland. </w:t>
      </w:r>
    </w:p>
    <w:p w:rsidR="00686963" w:rsidRPr="00EA2E13" w:rsidRDefault="00686963" w:rsidP="00EA2E13">
      <w:pPr>
        <w:tabs>
          <w:tab w:val="left" w:pos="7654"/>
        </w:tabs>
        <w:spacing w:line="240" w:lineRule="auto"/>
        <w:ind w:right="-1"/>
        <w:rPr>
          <w:szCs w:val="22"/>
        </w:rPr>
      </w:pPr>
    </w:p>
    <w:p w:rsidR="00A620F9" w:rsidRDefault="00A66B32" w:rsidP="00EA2E13">
      <w:pPr>
        <w:tabs>
          <w:tab w:val="left" w:pos="7654"/>
        </w:tabs>
        <w:spacing w:line="240" w:lineRule="auto"/>
        <w:ind w:right="-1"/>
        <w:rPr>
          <w:szCs w:val="22"/>
        </w:rPr>
      </w:pPr>
      <w:r>
        <w:rPr>
          <w:szCs w:val="22"/>
        </w:rPr>
        <w:t>Die europäische Nachfrage</w:t>
      </w:r>
      <w:r w:rsidR="00A620F9" w:rsidRPr="00EA2E13">
        <w:rPr>
          <w:szCs w:val="22"/>
        </w:rPr>
        <w:t xml:space="preserve"> </w:t>
      </w:r>
      <w:r w:rsidR="001E60C4">
        <w:rPr>
          <w:szCs w:val="22"/>
        </w:rPr>
        <w:t xml:space="preserve">war im vergangenen Jahr </w:t>
      </w:r>
      <w:r w:rsidR="00A620F9" w:rsidRPr="00EA2E13">
        <w:rPr>
          <w:szCs w:val="22"/>
        </w:rPr>
        <w:t>durch Russland stark b</w:t>
      </w:r>
      <w:r w:rsidR="00A620F9" w:rsidRPr="00EA2E13">
        <w:rPr>
          <w:szCs w:val="22"/>
        </w:rPr>
        <w:t>e</w:t>
      </w:r>
      <w:r w:rsidR="00A620F9" w:rsidRPr="00EA2E13">
        <w:rPr>
          <w:szCs w:val="22"/>
        </w:rPr>
        <w:t xml:space="preserve">einträchtigt. Gleichwohl </w:t>
      </w:r>
      <w:r w:rsidR="00892FE2">
        <w:rPr>
          <w:szCs w:val="22"/>
        </w:rPr>
        <w:t>zogen die Bestellungen aus</w:t>
      </w:r>
      <w:r w:rsidR="00686963">
        <w:rPr>
          <w:szCs w:val="22"/>
        </w:rPr>
        <w:t xml:space="preserve"> etlichen osteuropäischen Ländern </w:t>
      </w:r>
      <w:r w:rsidR="001E60C4">
        <w:rPr>
          <w:szCs w:val="22"/>
        </w:rPr>
        <w:t xml:space="preserve">bereits </w:t>
      </w:r>
      <w:r w:rsidR="00A620F9" w:rsidRPr="00EA2E13">
        <w:rPr>
          <w:szCs w:val="22"/>
        </w:rPr>
        <w:t>in mittlerer zweitstelliger Größenordnung an. In Ita</w:t>
      </w:r>
      <w:r w:rsidR="00686963">
        <w:rPr>
          <w:szCs w:val="22"/>
        </w:rPr>
        <w:t>lien wirkt</w:t>
      </w:r>
      <w:r w:rsidR="001E60C4">
        <w:rPr>
          <w:szCs w:val="22"/>
        </w:rPr>
        <w:t>e</w:t>
      </w:r>
      <w:r w:rsidR="00686963">
        <w:rPr>
          <w:szCs w:val="22"/>
        </w:rPr>
        <w:t xml:space="preserve"> </w:t>
      </w:r>
      <w:r w:rsidR="00A620F9" w:rsidRPr="00EA2E13">
        <w:rPr>
          <w:szCs w:val="22"/>
        </w:rPr>
        <w:t xml:space="preserve">sich die staatliche Investitionsförderung </w:t>
      </w:r>
      <w:r w:rsidR="00037D33">
        <w:rPr>
          <w:szCs w:val="22"/>
        </w:rPr>
        <w:t>i</w:t>
      </w:r>
      <w:r w:rsidR="00A620F9" w:rsidRPr="00EA2E13">
        <w:rPr>
          <w:szCs w:val="22"/>
        </w:rPr>
        <w:t xml:space="preserve">n Form verbilligter Kredite </w:t>
      </w:r>
      <w:r w:rsidR="00892FE2">
        <w:rPr>
          <w:szCs w:val="22"/>
        </w:rPr>
        <w:t>positiv</w:t>
      </w:r>
      <w:r w:rsidR="00A620F9" w:rsidRPr="00EA2E13">
        <w:rPr>
          <w:szCs w:val="22"/>
        </w:rPr>
        <w:t xml:space="preserve"> </w:t>
      </w:r>
      <w:r w:rsidR="00686963">
        <w:rPr>
          <w:szCs w:val="22"/>
        </w:rPr>
        <w:t xml:space="preserve">aus. </w:t>
      </w:r>
      <w:r w:rsidR="00A620F9" w:rsidRPr="00EA2E13">
        <w:rPr>
          <w:szCs w:val="22"/>
        </w:rPr>
        <w:t>Die guten Geschäfte mit der Schweiz sind den engen unternehmerischen Ve</w:t>
      </w:r>
      <w:r w:rsidR="00A620F9" w:rsidRPr="00EA2E13">
        <w:rPr>
          <w:szCs w:val="22"/>
        </w:rPr>
        <w:t>r</w:t>
      </w:r>
      <w:r w:rsidR="00A620F9" w:rsidRPr="00EA2E13">
        <w:rPr>
          <w:szCs w:val="22"/>
        </w:rPr>
        <w:t>flech</w:t>
      </w:r>
      <w:r w:rsidR="00892FE2">
        <w:rPr>
          <w:szCs w:val="22"/>
        </w:rPr>
        <w:t xml:space="preserve">tungen </w:t>
      </w:r>
      <w:r w:rsidR="001E60C4">
        <w:rPr>
          <w:szCs w:val="22"/>
        </w:rPr>
        <w:t>zwischen deutschen Herstellern und ihren Schweizer Tochterg</w:t>
      </w:r>
      <w:r w:rsidR="001E60C4">
        <w:rPr>
          <w:szCs w:val="22"/>
        </w:rPr>
        <w:t>e</w:t>
      </w:r>
      <w:r w:rsidR="001E60C4">
        <w:rPr>
          <w:szCs w:val="22"/>
        </w:rPr>
        <w:t xml:space="preserve">sellschaften </w:t>
      </w:r>
      <w:r w:rsidR="00892FE2">
        <w:rPr>
          <w:szCs w:val="22"/>
        </w:rPr>
        <w:t xml:space="preserve">geschuldet. </w:t>
      </w:r>
      <w:r w:rsidRPr="00EA2E13">
        <w:rPr>
          <w:szCs w:val="22"/>
        </w:rPr>
        <w:t>2015 wird eine moderate Erholung der europäischen Nachfrage erwartet.</w:t>
      </w:r>
    </w:p>
    <w:p w:rsidR="001E60C4" w:rsidRPr="00EA2E13" w:rsidRDefault="001E60C4" w:rsidP="00EA2E13">
      <w:pPr>
        <w:tabs>
          <w:tab w:val="left" w:pos="7654"/>
        </w:tabs>
        <w:spacing w:line="240" w:lineRule="auto"/>
        <w:ind w:right="-1"/>
        <w:rPr>
          <w:szCs w:val="22"/>
        </w:rPr>
      </w:pPr>
    </w:p>
    <w:p w:rsidR="00A620F9" w:rsidRPr="00EA2E13" w:rsidRDefault="001E60C4" w:rsidP="00EA2E13">
      <w:pPr>
        <w:tabs>
          <w:tab w:val="left" w:pos="7654"/>
        </w:tabs>
        <w:spacing w:line="240" w:lineRule="auto"/>
        <w:ind w:right="-1"/>
        <w:rPr>
          <w:szCs w:val="22"/>
        </w:rPr>
      </w:pPr>
      <w:r>
        <w:rPr>
          <w:szCs w:val="22"/>
        </w:rPr>
        <w:lastRenderedPageBreak/>
        <w:t xml:space="preserve">Die </w:t>
      </w:r>
      <w:r w:rsidR="00A66B32">
        <w:rPr>
          <w:szCs w:val="22"/>
        </w:rPr>
        <w:t>gilt auch für Asien</w:t>
      </w:r>
      <w:r w:rsidR="00A620F9" w:rsidRPr="00EA2E13">
        <w:rPr>
          <w:szCs w:val="22"/>
        </w:rPr>
        <w:t>. Mit Blick auf China und Korea hat sich der Werkzeu</w:t>
      </w:r>
      <w:r w:rsidR="00A620F9" w:rsidRPr="00EA2E13">
        <w:rPr>
          <w:szCs w:val="22"/>
        </w:rPr>
        <w:t>g</w:t>
      </w:r>
      <w:r w:rsidR="00A620F9" w:rsidRPr="00EA2E13">
        <w:rPr>
          <w:szCs w:val="22"/>
        </w:rPr>
        <w:t xml:space="preserve">maschinenverbrauch im vergangenen Jahr stabilisiert. Entsprechend sind die Bestellungen bei den deutschen Herstellern zuletzt wieder angezogen. </w:t>
      </w:r>
    </w:p>
    <w:p w:rsidR="00A620F9" w:rsidRDefault="00A620F9" w:rsidP="00EA2E13">
      <w:pPr>
        <w:tabs>
          <w:tab w:val="left" w:pos="7654"/>
        </w:tabs>
        <w:spacing w:line="240" w:lineRule="auto"/>
        <w:ind w:right="-1"/>
        <w:rPr>
          <w:szCs w:val="22"/>
        </w:rPr>
      </w:pPr>
    </w:p>
    <w:p w:rsidR="00686963" w:rsidRDefault="00686963" w:rsidP="00686963">
      <w:pPr>
        <w:tabs>
          <w:tab w:val="left" w:pos="7654"/>
        </w:tabs>
        <w:spacing w:line="240" w:lineRule="atLeast"/>
        <w:ind w:right="-1"/>
        <w:rPr>
          <w:szCs w:val="22"/>
        </w:rPr>
      </w:pPr>
      <w:r>
        <w:rPr>
          <w:szCs w:val="22"/>
        </w:rPr>
        <w:t>„Wir sehen mit verhaltenem Optimismus auf das laufende Jahr</w:t>
      </w:r>
      <w:r w:rsidR="00037D33">
        <w:rPr>
          <w:szCs w:val="22"/>
        </w:rPr>
        <w:t>, denn die deu</w:t>
      </w:r>
      <w:r w:rsidR="00037D33">
        <w:rPr>
          <w:szCs w:val="22"/>
        </w:rPr>
        <w:t>t</w:t>
      </w:r>
      <w:r w:rsidR="00037D33">
        <w:rPr>
          <w:szCs w:val="22"/>
        </w:rPr>
        <w:t>sche Werkzeugmaschinenindustrie als Produktionsausrüster für die Welt ist in guter Verfassung</w:t>
      </w:r>
      <w:r>
        <w:rPr>
          <w:szCs w:val="22"/>
        </w:rPr>
        <w:t xml:space="preserve">“, resümiert Kapp. Die Branche </w:t>
      </w:r>
      <w:r w:rsidR="00037D33">
        <w:rPr>
          <w:szCs w:val="22"/>
        </w:rPr>
        <w:t xml:space="preserve">verkenne jedoch nicht, dass </w:t>
      </w:r>
      <w:r>
        <w:rPr>
          <w:szCs w:val="22"/>
        </w:rPr>
        <w:t xml:space="preserve">nach wie vor zahlreiche Risiken durch die vielen Krisen rund um die Welt </w:t>
      </w:r>
      <w:r w:rsidR="00037D33">
        <w:rPr>
          <w:szCs w:val="22"/>
        </w:rPr>
        <w:t>b</w:t>
      </w:r>
      <w:r w:rsidR="00037D33">
        <w:rPr>
          <w:szCs w:val="22"/>
        </w:rPr>
        <w:t>e</w:t>
      </w:r>
      <w:r w:rsidR="00037D33">
        <w:rPr>
          <w:szCs w:val="22"/>
        </w:rPr>
        <w:t xml:space="preserve">stehen </w:t>
      </w:r>
      <w:r>
        <w:rPr>
          <w:szCs w:val="22"/>
        </w:rPr>
        <w:t>und vermisse klare</w:t>
      </w:r>
      <w:r w:rsidR="001E60C4">
        <w:rPr>
          <w:szCs w:val="22"/>
        </w:rPr>
        <w:t>re</w:t>
      </w:r>
      <w:r>
        <w:rPr>
          <w:szCs w:val="22"/>
        </w:rPr>
        <w:t xml:space="preserve"> Wachstumssignale in vielen wichtigen Märk</w:t>
      </w:r>
      <w:r w:rsidR="00037D33">
        <w:rPr>
          <w:szCs w:val="22"/>
        </w:rPr>
        <w:t>ten.</w:t>
      </w:r>
    </w:p>
    <w:p w:rsidR="00686963" w:rsidRPr="00EA2E13" w:rsidRDefault="00686963" w:rsidP="00EA2E13">
      <w:pPr>
        <w:tabs>
          <w:tab w:val="left" w:pos="7654"/>
        </w:tabs>
        <w:spacing w:line="240" w:lineRule="auto"/>
        <w:ind w:right="-1"/>
        <w:rPr>
          <w:szCs w:val="22"/>
        </w:rPr>
      </w:pPr>
    </w:p>
    <w:p w:rsidR="00274D7F" w:rsidRPr="00274D7F" w:rsidRDefault="00274D7F" w:rsidP="00892FE2">
      <w:pPr>
        <w:tabs>
          <w:tab w:val="left" w:pos="7654"/>
        </w:tabs>
        <w:spacing w:line="240" w:lineRule="auto"/>
        <w:rPr>
          <w:b/>
          <w:szCs w:val="22"/>
        </w:rPr>
      </w:pPr>
      <w:r w:rsidRPr="00274D7F">
        <w:rPr>
          <w:b/>
          <w:szCs w:val="22"/>
        </w:rPr>
        <w:t>2014 erstmals wieder Rückgang seit drei Jahren</w:t>
      </w:r>
    </w:p>
    <w:p w:rsidR="00892FE2" w:rsidRPr="00892FE2" w:rsidRDefault="00793F13" w:rsidP="00892FE2">
      <w:pPr>
        <w:tabs>
          <w:tab w:val="left" w:pos="7654"/>
        </w:tabs>
        <w:spacing w:line="240" w:lineRule="auto"/>
        <w:rPr>
          <w:szCs w:val="22"/>
        </w:rPr>
      </w:pPr>
      <w:r>
        <w:rPr>
          <w:szCs w:val="22"/>
        </w:rPr>
        <w:t xml:space="preserve">Im abgelaufenen Jahr </w:t>
      </w:r>
      <w:r w:rsidR="00274D7F">
        <w:rPr>
          <w:szCs w:val="22"/>
        </w:rPr>
        <w:t xml:space="preserve">musste </w:t>
      </w:r>
      <w:r w:rsidR="00892FE2" w:rsidRPr="00892FE2">
        <w:rPr>
          <w:szCs w:val="22"/>
        </w:rPr>
        <w:t xml:space="preserve">die deutsche Werkzeugmaschinenindustrie </w:t>
      </w:r>
      <w:r w:rsidR="00274D7F">
        <w:rPr>
          <w:szCs w:val="22"/>
        </w:rPr>
        <w:t>e</w:t>
      </w:r>
      <w:r w:rsidR="00274D7F" w:rsidRPr="00892FE2">
        <w:rPr>
          <w:szCs w:val="22"/>
        </w:rPr>
        <w:t>rs</w:t>
      </w:r>
      <w:r w:rsidR="00274D7F" w:rsidRPr="00892FE2">
        <w:rPr>
          <w:szCs w:val="22"/>
        </w:rPr>
        <w:t>t</w:t>
      </w:r>
      <w:r w:rsidR="00274D7F" w:rsidRPr="00892FE2">
        <w:rPr>
          <w:szCs w:val="22"/>
        </w:rPr>
        <w:t xml:space="preserve">mals nach drei Jahren </w:t>
      </w:r>
      <w:r w:rsidR="00892FE2" w:rsidRPr="00892FE2">
        <w:rPr>
          <w:szCs w:val="22"/>
        </w:rPr>
        <w:t xml:space="preserve">wieder einen Rückgang hinnehmen. </w:t>
      </w:r>
      <w:r>
        <w:rPr>
          <w:szCs w:val="22"/>
        </w:rPr>
        <w:t xml:space="preserve">Mit einem Minus von einem Prozent </w:t>
      </w:r>
      <w:r w:rsidR="00892FE2" w:rsidRPr="00892FE2">
        <w:rPr>
          <w:szCs w:val="22"/>
        </w:rPr>
        <w:t>lag die Produktion bei 14,4 Mrd. Euro</w:t>
      </w:r>
      <w:r>
        <w:rPr>
          <w:szCs w:val="22"/>
        </w:rPr>
        <w:t>, dem</w:t>
      </w:r>
      <w:r w:rsidR="00892FE2" w:rsidRPr="00892FE2">
        <w:rPr>
          <w:szCs w:val="22"/>
        </w:rPr>
        <w:t xml:space="preserve"> zweithöchsten Produktionswert, den die Branche jemals erwirtschaftet hat.  </w:t>
      </w:r>
    </w:p>
    <w:p w:rsidR="00892FE2" w:rsidRPr="00892FE2" w:rsidRDefault="00892FE2" w:rsidP="00892FE2">
      <w:pPr>
        <w:tabs>
          <w:tab w:val="left" w:pos="7654"/>
        </w:tabs>
        <w:spacing w:line="240" w:lineRule="auto"/>
        <w:rPr>
          <w:szCs w:val="22"/>
        </w:rPr>
      </w:pPr>
    </w:p>
    <w:p w:rsidR="00892FE2" w:rsidRPr="00892FE2" w:rsidRDefault="00892FE2" w:rsidP="00892FE2">
      <w:pPr>
        <w:tabs>
          <w:tab w:val="left" w:pos="7654"/>
        </w:tabs>
        <w:spacing w:line="240" w:lineRule="auto"/>
        <w:rPr>
          <w:szCs w:val="22"/>
        </w:rPr>
      </w:pPr>
      <w:r w:rsidRPr="00892FE2">
        <w:rPr>
          <w:szCs w:val="22"/>
        </w:rPr>
        <w:t xml:space="preserve">Die Ausfuhren sanken um 3 Prozent auf 8,9 Mrd. Euro. Innerhalb der Triade schnitten die Lieferungen nach Europa mit einem Zuwachs von 1 Prozent noch am besten ab. Sowohl Asien als auch Amerika konnten weniger glänzen. Die Exportquote blieb mit rd. 67 Prozent </w:t>
      </w:r>
      <w:r w:rsidR="001E60C4">
        <w:rPr>
          <w:szCs w:val="22"/>
        </w:rPr>
        <w:t xml:space="preserve">jedoch </w:t>
      </w:r>
      <w:r w:rsidRPr="00892FE2">
        <w:rPr>
          <w:szCs w:val="22"/>
        </w:rPr>
        <w:t xml:space="preserve">insgesamt sehr hoch. </w:t>
      </w:r>
    </w:p>
    <w:p w:rsidR="00892FE2" w:rsidRPr="00892FE2" w:rsidRDefault="00892FE2" w:rsidP="00892FE2">
      <w:pPr>
        <w:tabs>
          <w:tab w:val="left" w:pos="7654"/>
        </w:tabs>
        <w:spacing w:line="240" w:lineRule="auto"/>
        <w:rPr>
          <w:szCs w:val="22"/>
        </w:rPr>
      </w:pPr>
    </w:p>
    <w:p w:rsidR="00A9058C" w:rsidRDefault="00892FE2" w:rsidP="00892FE2">
      <w:pPr>
        <w:tabs>
          <w:tab w:val="left" w:pos="7654"/>
        </w:tabs>
        <w:spacing w:line="240" w:lineRule="auto"/>
        <w:rPr>
          <w:szCs w:val="22"/>
        </w:rPr>
      </w:pPr>
      <w:r w:rsidRPr="00892FE2">
        <w:rPr>
          <w:szCs w:val="22"/>
        </w:rPr>
        <w:t>Weniger gelitten hat</w:t>
      </w:r>
      <w:r w:rsidR="00600520">
        <w:rPr>
          <w:szCs w:val="22"/>
        </w:rPr>
        <w:t>te</w:t>
      </w:r>
      <w:r w:rsidRPr="00892FE2">
        <w:rPr>
          <w:szCs w:val="22"/>
        </w:rPr>
        <w:t xml:space="preserve"> der Import. </w:t>
      </w:r>
      <w:r w:rsidR="00274D7F">
        <w:rPr>
          <w:szCs w:val="22"/>
        </w:rPr>
        <w:t xml:space="preserve">Er stieg um 4 Prozent. </w:t>
      </w:r>
      <w:r w:rsidR="00A9058C">
        <w:rPr>
          <w:szCs w:val="22"/>
        </w:rPr>
        <w:t>Fast 70 Prozent der Einfuhren kom</w:t>
      </w:r>
      <w:r w:rsidRPr="00892FE2">
        <w:rPr>
          <w:szCs w:val="22"/>
        </w:rPr>
        <w:t xml:space="preserve">men aus Europa. Die Schweiz </w:t>
      </w:r>
      <w:r w:rsidR="00A9058C">
        <w:rPr>
          <w:szCs w:val="22"/>
        </w:rPr>
        <w:t xml:space="preserve">bleibt </w:t>
      </w:r>
      <w:r w:rsidRPr="00892FE2">
        <w:rPr>
          <w:szCs w:val="22"/>
        </w:rPr>
        <w:t>wichtigster Lieferant</w:t>
      </w:r>
      <w:r w:rsidR="00A9058C">
        <w:rPr>
          <w:szCs w:val="22"/>
        </w:rPr>
        <w:t xml:space="preserve">. </w:t>
      </w:r>
    </w:p>
    <w:p w:rsidR="00A9058C" w:rsidRPr="00892FE2" w:rsidRDefault="00A9058C" w:rsidP="00892FE2">
      <w:pPr>
        <w:tabs>
          <w:tab w:val="left" w:pos="7654"/>
        </w:tabs>
        <w:spacing w:line="240" w:lineRule="auto"/>
        <w:rPr>
          <w:szCs w:val="22"/>
        </w:rPr>
      </w:pPr>
    </w:p>
    <w:p w:rsidR="00892FE2" w:rsidRPr="00B663E3" w:rsidRDefault="00274D7F" w:rsidP="00B663E3">
      <w:pPr>
        <w:tabs>
          <w:tab w:val="left" w:pos="7654"/>
        </w:tabs>
        <w:spacing w:line="240" w:lineRule="auto"/>
        <w:rPr>
          <w:szCs w:val="22"/>
        </w:rPr>
      </w:pPr>
      <w:r w:rsidRPr="00B663E3">
        <w:rPr>
          <w:szCs w:val="22"/>
        </w:rPr>
        <w:t xml:space="preserve">Der Auftragsbestand notierte im Jahresdurchschnitt </w:t>
      </w:r>
      <w:r w:rsidR="001E60C4">
        <w:rPr>
          <w:szCs w:val="22"/>
        </w:rPr>
        <w:t xml:space="preserve">2014 </w:t>
      </w:r>
      <w:r w:rsidRPr="00B663E3">
        <w:rPr>
          <w:szCs w:val="22"/>
        </w:rPr>
        <w:t>mit 7,3 Monaten leicht unter Vorjahr.</w:t>
      </w:r>
      <w:r>
        <w:rPr>
          <w:szCs w:val="22"/>
        </w:rPr>
        <w:t xml:space="preserve"> </w:t>
      </w:r>
      <w:r w:rsidR="00892FE2" w:rsidRPr="00892FE2">
        <w:rPr>
          <w:szCs w:val="22"/>
        </w:rPr>
        <w:t>Die Kapazitätsauslastung lag im Jahresdurchschnitt mit 90,1 Pr</w:t>
      </w:r>
      <w:r w:rsidR="00892FE2" w:rsidRPr="00892FE2">
        <w:rPr>
          <w:szCs w:val="22"/>
        </w:rPr>
        <w:t>o</w:t>
      </w:r>
      <w:r w:rsidR="00892FE2" w:rsidRPr="00892FE2">
        <w:rPr>
          <w:szCs w:val="22"/>
        </w:rPr>
        <w:t xml:space="preserve">zent weiterhin sehr hoch. </w:t>
      </w:r>
      <w:r w:rsidR="008B768A">
        <w:rPr>
          <w:szCs w:val="22"/>
        </w:rPr>
        <w:t>D</w:t>
      </w:r>
      <w:r w:rsidR="00892FE2" w:rsidRPr="00B663E3">
        <w:rPr>
          <w:szCs w:val="22"/>
        </w:rPr>
        <w:t xml:space="preserve">ie Beschäftigung </w:t>
      </w:r>
      <w:r w:rsidR="008B768A">
        <w:rPr>
          <w:szCs w:val="22"/>
        </w:rPr>
        <w:t xml:space="preserve">blieb mit 71 600 Mitarbeiterinnen und Mitarbeitern </w:t>
      </w:r>
      <w:r w:rsidR="00892FE2" w:rsidRPr="00B663E3">
        <w:rPr>
          <w:szCs w:val="22"/>
        </w:rPr>
        <w:t xml:space="preserve">erfreulicherweise stabil. </w:t>
      </w:r>
      <w:r>
        <w:rPr>
          <w:szCs w:val="22"/>
        </w:rPr>
        <w:t>„</w:t>
      </w:r>
      <w:r w:rsidR="00892FE2" w:rsidRPr="00B663E3">
        <w:rPr>
          <w:szCs w:val="22"/>
        </w:rPr>
        <w:t>Wir wollen und können hoch qualif</w:t>
      </w:r>
      <w:r w:rsidR="00892FE2" w:rsidRPr="00B663E3">
        <w:rPr>
          <w:szCs w:val="22"/>
        </w:rPr>
        <w:t>i</w:t>
      </w:r>
      <w:r w:rsidR="001E60C4">
        <w:rPr>
          <w:szCs w:val="22"/>
        </w:rPr>
        <w:t>zierte und best</w:t>
      </w:r>
      <w:r w:rsidR="00892FE2" w:rsidRPr="00B663E3">
        <w:rPr>
          <w:szCs w:val="22"/>
        </w:rPr>
        <w:t>bezahlte Arbeitsplätze anbieten.</w:t>
      </w:r>
      <w:r w:rsidR="008B768A">
        <w:rPr>
          <w:szCs w:val="22"/>
        </w:rPr>
        <w:t xml:space="preserve"> Auch halten wir in Zeiten von Produktionsschwankungen unsere Fachkräfte.</w:t>
      </w:r>
      <w:r w:rsidR="00892FE2" w:rsidRPr="00B663E3">
        <w:rPr>
          <w:szCs w:val="22"/>
        </w:rPr>
        <w:t xml:space="preserve"> Das sollte die IG-Metall im Hi</w:t>
      </w:r>
      <w:r w:rsidR="00892FE2" w:rsidRPr="00B663E3">
        <w:rPr>
          <w:szCs w:val="22"/>
        </w:rPr>
        <w:t>n</w:t>
      </w:r>
      <w:r w:rsidR="00892FE2" w:rsidRPr="00B663E3">
        <w:rPr>
          <w:szCs w:val="22"/>
        </w:rPr>
        <w:t>terkopf behalten und von überzogenen Forderungen absehen, die nicht in die Realität einer unsicheren Gesamtentwicklung</w:t>
      </w:r>
      <w:r w:rsidR="001E60C4">
        <w:rPr>
          <w:szCs w:val="22"/>
        </w:rPr>
        <w:t xml:space="preserve"> mit eher sinkenden Verkaufspre</w:t>
      </w:r>
      <w:r w:rsidR="001E60C4">
        <w:rPr>
          <w:szCs w:val="22"/>
        </w:rPr>
        <w:t>i</w:t>
      </w:r>
      <w:r w:rsidR="001E60C4">
        <w:rPr>
          <w:szCs w:val="22"/>
        </w:rPr>
        <w:t>sen</w:t>
      </w:r>
      <w:r w:rsidR="00892FE2" w:rsidRPr="00B663E3">
        <w:rPr>
          <w:szCs w:val="22"/>
        </w:rPr>
        <w:t xml:space="preserve"> passen</w:t>
      </w:r>
      <w:r>
        <w:rPr>
          <w:szCs w:val="22"/>
        </w:rPr>
        <w:t xml:space="preserve">“, </w:t>
      </w:r>
      <w:r w:rsidR="00600520">
        <w:rPr>
          <w:szCs w:val="22"/>
        </w:rPr>
        <w:t>sagt Kapp dazu</w:t>
      </w:r>
      <w:r w:rsidR="00892FE2" w:rsidRPr="00B663E3">
        <w:rPr>
          <w:szCs w:val="22"/>
        </w:rPr>
        <w:t>.</w:t>
      </w:r>
    </w:p>
    <w:p w:rsidR="00892FE2" w:rsidRDefault="00892FE2" w:rsidP="00B663E3">
      <w:pPr>
        <w:tabs>
          <w:tab w:val="left" w:pos="7654"/>
        </w:tabs>
        <w:spacing w:line="240" w:lineRule="auto"/>
        <w:rPr>
          <w:szCs w:val="22"/>
        </w:rPr>
      </w:pPr>
    </w:p>
    <w:p w:rsidR="00274D7F" w:rsidRPr="00274D7F" w:rsidRDefault="00274D7F" w:rsidP="00274D7F">
      <w:pPr>
        <w:tabs>
          <w:tab w:val="left" w:pos="7654"/>
        </w:tabs>
        <w:spacing w:line="240" w:lineRule="auto"/>
        <w:rPr>
          <w:b/>
          <w:szCs w:val="22"/>
        </w:rPr>
      </w:pPr>
      <w:r w:rsidRPr="00274D7F">
        <w:rPr>
          <w:b/>
          <w:szCs w:val="22"/>
        </w:rPr>
        <w:t>Deutschland bleibt Exportweltmeister</w:t>
      </w:r>
    </w:p>
    <w:p w:rsidR="00274D7F" w:rsidRDefault="00274D7F" w:rsidP="00274D7F">
      <w:pPr>
        <w:tabs>
          <w:tab w:val="left" w:pos="7654"/>
        </w:tabs>
        <w:spacing w:line="240" w:lineRule="auto"/>
        <w:rPr>
          <w:szCs w:val="22"/>
        </w:rPr>
      </w:pPr>
      <w:r>
        <w:rPr>
          <w:szCs w:val="22"/>
        </w:rPr>
        <w:t>Im internationalen Wettbewerb hat sich die Branche s</w:t>
      </w:r>
      <w:r w:rsidRPr="00274D7F">
        <w:rPr>
          <w:szCs w:val="22"/>
        </w:rPr>
        <w:t>ehr gut geschlagen</w:t>
      </w:r>
      <w:r>
        <w:rPr>
          <w:szCs w:val="22"/>
        </w:rPr>
        <w:t xml:space="preserve">. </w:t>
      </w:r>
      <w:r w:rsidR="00600520">
        <w:rPr>
          <w:szCs w:val="22"/>
        </w:rPr>
        <w:t>I</w:t>
      </w:r>
      <w:r>
        <w:rPr>
          <w:szCs w:val="22"/>
        </w:rPr>
        <w:t xml:space="preserve">m </w:t>
      </w:r>
      <w:r w:rsidRPr="00274D7F">
        <w:rPr>
          <w:szCs w:val="22"/>
        </w:rPr>
        <w:t xml:space="preserve">Wettlauf mit </w:t>
      </w:r>
      <w:r>
        <w:rPr>
          <w:szCs w:val="22"/>
        </w:rPr>
        <w:t xml:space="preserve">den Japanern </w:t>
      </w:r>
      <w:r w:rsidR="00600520">
        <w:rPr>
          <w:szCs w:val="22"/>
        </w:rPr>
        <w:t xml:space="preserve">konnte sie ihren </w:t>
      </w:r>
      <w:r>
        <w:rPr>
          <w:szCs w:val="22"/>
        </w:rPr>
        <w:t xml:space="preserve">Spitzenplatz im Export </w:t>
      </w:r>
      <w:r w:rsidR="00A66B32">
        <w:rPr>
          <w:szCs w:val="22"/>
        </w:rPr>
        <w:t xml:space="preserve">trotz eines Rückgangs von 5 Prozent (ohne Teile und Zubehör) </w:t>
      </w:r>
      <w:r>
        <w:rPr>
          <w:szCs w:val="22"/>
        </w:rPr>
        <w:t xml:space="preserve">mit einem Anteil von 21,2 Prozent </w:t>
      </w:r>
      <w:r w:rsidR="00A66B32">
        <w:rPr>
          <w:szCs w:val="22"/>
        </w:rPr>
        <w:t xml:space="preserve">an den Weltausfuhren </w:t>
      </w:r>
      <w:r>
        <w:rPr>
          <w:szCs w:val="22"/>
        </w:rPr>
        <w:t xml:space="preserve">behaupten. </w:t>
      </w:r>
      <w:r w:rsidRPr="00274D7F">
        <w:rPr>
          <w:szCs w:val="22"/>
        </w:rPr>
        <w:t>Die Japaner profitierten vom schw</w:t>
      </w:r>
      <w:r w:rsidRPr="00274D7F">
        <w:rPr>
          <w:szCs w:val="22"/>
        </w:rPr>
        <w:t>a</w:t>
      </w:r>
      <w:r w:rsidRPr="00274D7F">
        <w:rPr>
          <w:szCs w:val="22"/>
        </w:rPr>
        <w:t>chen Yen und steigerten ih</w:t>
      </w:r>
      <w:r w:rsidR="00851C72">
        <w:rPr>
          <w:szCs w:val="22"/>
        </w:rPr>
        <w:t>ren Export in Euro gerechnet um</w:t>
      </w:r>
      <w:r w:rsidRPr="00274D7F">
        <w:rPr>
          <w:szCs w:val="22"/>
        </w:rPr>
        <w:t xml:space="preserve"> 7 Prozent</w:t>
      </w:r>
      <w:r w:rsidR="00A66B32">
        <w:rPr>
          <w:szCs w:val="22"/>
        </w:rPr>
        <w:t xml:space="preserve">. </w:t>
      </w:r>
      <w:r w:rsidRPr="00274D7F">
        <w:rPr>
          <w:szCs w:val="22"/>
        </w:rPr>
        <w:t xml:space="preserve"> </w:t>
      </w:r>
    </w:p>
    <w:p w:rsidR="008B768A" w:rsidRPr="00274D7F" w:rsidRDefault="008B768A" w:rsidP="00274D7F">
      <w:pPr>
        <w:tabs>
          <w:tab w:val="left" w:pos="7654"/>
        </w:tabs>
        <w:spacing w:line="240" w:lineRule="auto"/>
        <w:rPr>
          <w:szCs w:val="22"/>
        </w:rPr>
      </w:pPr>
    </w:p>
    <w:p w:rsidR="00274D7F" w:rsidRDefault="00600520" w:rsidP="00274D7F">
      <w:pPr>
        <w:tabs>
          <w:tab w:val="left" w:pos="7654"/>
        </w:tabs>
        <w:spacing w:line="240" w:lineRule="auto"/>
        <w:rPr>
          <w:szCs w:val="22"/>
        </w:rPr>
      </w:pPr>
      <w:r>
        <w:rPr>
          <w:szCs w:val="22"/>
        </w:rPr>
        <w:t>Deutsche Hersteller</w:t>
      </w:r>
      <w:r w:rsidR="00A66B32">
        <w:rPr>
          <w:szCs w:val="22"/>
        </w:rPr>
        <w:t xml:space="preserve"> gehören</w:t>
      </w:r>
      <w:r w:rsidR="008B768A">
        <w:rPr>
          <w:szCs w:val="22"/>
        </w:rPr>
        <w:t xml:space="preserve"> auch</w:t>
      </w:r>
      <w:r w:rsidR="0010082D">
        <w:rPr>
          <w:szCs w:val="22"/>
        </w:rPr>
        <w:t xml:space="preserve"> zu den Top-3 der weltweit größten Produze</w:t>
      </w:r>
      <w:r w:rsidR="0010082D">
        <w:rPr>
          <w:szCs w:val="22"/>
        </w:rPr>
        <w:t>n</w:t>
      </w:r>
      <w:r w:rsidR="0010082D">
        <w:rPr>
          <w:szCs w:val="22"/>
        </w:rPr>
        <w:t>ten. Hinter Chi</w:t>
      </w:r>
      <w:r w:rsidR="008B768A">
        <w:rPr>
          <w:szCs w:val="22"/>
        </w:rPr>
        <w:t xml:space="preserve">na und Japan belegen </w:t>
      </w:r>
      <w:r>
        <w:rPr>
          <w:szCs w:val="22"/>
        </w:rPr>
        <w:t>sie</w:t>
      </w:r>
      <w:r w:rsidR="008B768A">
        <w:rPr>
          <w:szCs w:val="22"/>
        </w:rPr>
        <w:t xml:space="preserve"> </w:t>
      </w:r>
      <w:r w:rsidR="0010082D">
        <w:rPr>
          <w:szCs w:val="22"/>
        </w:rPr>
        <w:t>m</w:t>
      </w:r>
      <w:r w:rsidR="00274D7F">
        <w:rPr>
          <w:szCs w:val="22"/>
        </w:rPr>
        <w:t>it einem Anteil von 17,7 Prozent Platz 3. Die Japane</w:t>
      </w:r>
      <w:r>
        <w:rPr>
          <w:szCs w:val="22"/>
        </w:rPr>
        <w:t>r konnten vor allem aufgrund eine</w:t>
      </w:r>
      <w:r w:rsidR="00274D7F">
        <w:rPr>
          <w:szCs w:val="22"/>
        </w:rPr>
        <w:t xml:space="preserve">s </w:t>
      </w:r>
      <w:r w:rsidR="00274D7F" w:rsidRPr="00274D7F">
        <w:rPr>
          <w:szCs w:val="22"/>
        </w:rPr>
        <w:t>hohen zweistelligen Wachstum</w:t>
      </w:r>
      <w:r w:rsidR="008B768A">
        <w:rPr>
          <w:szCs w:val="22"/>
        </w:rPr>
        <w:t>s</w:t>
      </w:r>
      <w:r w:rsidR="00274D7F" w:rsidRPr="00274D7F">
        <w:rPr>
          <w:szCs w:val="22"/>
        </w:rPr>
        <w:t xml:space="preserve"> </w:t>
      </w:r>
      <w:r>
        <w:rPr>
          <w:szCs w:val="22"/>
        </w:rPr>
        <w:t>beim eigenen Werkzeugmaschinenverbrauch</w:t>
      </w:r>
      <w:r w:rsidR="00274D7F" w:rsidRPr="00274D7F">
        <w:rPr>
          <w:szCs w:val="22"/>
        </w:rPr>
        <w:t xml:space="preserve"> </w:t>
      </w:r>
      <w:r w:rsidR="008B768A">
        <w:rPr>
          <w:szCs w:val="22"/>
        </w:rPr>
        <w:t>stark</w:t>
      </w:r>
      <w:r w:rsidR="0010082D">
        <w:rPr>
          <w:szCs w:val="22"/>
        </w:rPr>
        <w:t xml:space="preserve"> zulegen</w:t>
      </w:r>
      <w:r>
        <w:rPr>
          <w:szCs w:val="22"/>
        </w:rPr>
        <w:t xml:space="preserve">. </w:t>
      </w:r>
    </w:p>
    <w:p w:rsidR="00491395" w:rsidRDefault="00491395">
      <w:pPr>
        <w:spacing w:line="240" w:lineRule="auto"/>
        <w:rPr>
          <w:szCs w:val="22"/>
        </w:rPr>
      </w:pPr>
      <w:r>
        <w:rPr>
          <w:szCs w:val="22"/>
        </w:rPr>
        <w:br w:type="page"/>
      </w:r>
    </w:p>
    <w:p w:rsidR="0010082D" w:rsidRPr="0010082D" w:rsidRDefault="0010082D" w:rsidP="00274D7F">
      <w:pPr>
        <w:tabs>
          <w:tab w:val="left" w:pos="7654"/>
        </w:tabs>
        <w:spacing w:line="240" w:lineRule="auto"/>
        <w:rPr>
          <w:b/>
          <w:szCs w:val="22"/>
        </w:rPr>
      </w:pPr>
      <w:r w:rsidRPr="0010082D">
        <w:rPr>
          <w:b/>
          <w:szCs w:val="22"/>
        </w:rPr>
        <w:t>Sorgen um den russischen Markt, Chancen durch TTIP</w:t>
      </w:r>
    </w:p>
    <w:p w:rsidR="0010082D" w:rsidRPr="0010082D" w:rsidRDefault="0010082D" w:rsidP="0010082D">
      <w:pPr>
        <w:tabs>
          <w:tab w:val="left" w:pos="7654"/>
        </w:tabs>
        <w:spacing w:line="240" w:lineRule="auto"/>
        <w:rPr>
          <w:szCs w:val="22"/>
        </w:rPr>
      </w:pPr>
      <w:r>
        <w:rPr>
          <w:szCs w:val="22"/>
        </w:rPr>
        <w:t>„</w:t>
      </w:r>
      <w:r w:rsidRPr="0010082D">
        <w:rPr>
          <w:szCs w:val="22"/>
        </w:rPr>
        <w:t>Das größte, derzeit absehbare Risiko für uns</w:t>
      </w:r>
      <w:r w:rsidR="008B768A">
        <w:rPr>
          <w:szCs w:val="22"/>
        </w:rPr>
        <w:t>ere Branche</w:t>
      </w:r>
      <w:r w:rsidRPr="0010082D">
        <w:rPr>
          <w:szCs w:val="22"/>
        </w:rPr>
        <w:t xml:space="preserve"> birgt das Russlan</w:t>
      </w:r>
      <w:r w:rsidRPr="0010082D">
        <w:rPr>
          <w:szCs w:val="22"/>
        </w:rPr>
        <w:t>d</w:t>
      </w:r>
      <w:r w:rsidRPr="0010082D">
        <w:rPr>
          <w:szCs w:val="22"/>
        </w:rPr>
        <w:t>geschäft</w:t>
      </w:r>
      <w:r>
        <w:rPr>
          <w:szCs w:val="22"/>
        </w:rPr>
        <w:t>“</w:t>
      </w:r>
      <w:r w:rsidR="008B768A">
        <w:rPr>
          <w:szCs w:val="22"/>
        </w:rPr>
        <w:t xml:space="preserve"> sagt </w:t>
      </w:r>
      <w:r>
        <w:rPr>
          <w:szCs w:val="22"/>
        </w:rPr>
        <w:t>VDW-Vorsitzende</w:t>
      </w:r>
      <w:r w:rsidR="008B768A">
        <w:rPr>
          <w:szCs w:val="22"/>
        </w:rPr>
        <w:t>r Kapp</w:t>
      </w:r>
      <w:r w:rsidRPr="0010082D">
        <w:rPr>
          <w:szCs w:val="22"/>
        </w:rPr>
        <w:t xml:space="preserve">. Russland ist </w:t>
      </w:r>
      <w:r w:rsidR="00A66B32">
        <w:rPr>
          <w:szCs w:val="22"/>
        </w:rPr>
        <w:t xml:space="preserve">bzw. war </w:t>
      </w:r>
      <w:r w:rsidRPr="0010082D">
        <w:rPr>
          <w:szCs w:val="22"/>
        </w:rPr>
        <w:t>mit einem Vol</w:t>
      </w:r>
      <w:r w:rsidRPr="0010082D">
        <w:rPr>
          <w:szCs w:val="22"/>
        </w:rPr>
        <w:t>u</w:t>
      </w:r>
      <w:r w:rsidRPr="0010082D">
        <w:rPr>
          <w:szCs w:val="22"/>
        </w:rPr>
        <w:t xml:space="preserve">men von 500 Mio. Euro und einem Anteil von aktuell 5,5 Prozent </w:t>
      </w:r>
      <w:r w:rsidR="008B768A">
        <w:rPr>
          <w:szCs w:val="22"/>
        </w:rPr>
        <w:t>der drittgrößte Markt</w:t>
      </w:r>
      <w:r w:rsidRPr="0010082D">
        <w:rPr>
          <w:szCs w:val="22"/>
        </w:rPr>
        <w:t xml:space="preserve">. Starke Rückschläge ergaben </w:t>
      </w:r>
      <w:r w:rsidR="00C81F75">
        <w:rPr>
          <w:szCs w:val="22"/>
        </w:rPr>
        <w:t xml:space="preserve">sich </w:t>
      </w:r>
      <w:r w:rsidRPr="0010082D">
        <w:rPr>
          <w:szCs w:val="22"/>
        </w:rPr>
        <w:t>bereits 2013 durch eine ausgeprägte Wachstumsschwäche, abnehmendes Interesse der Investoren, die ihr Kapital abzogen, steigende Zinsen und schließlich den freien Fall des Rubels. Seit A</w:t>
      </w:r>
      <w:r w:rsidRPr="0010082D">
        <w:rPr>
          <w:szCs w:val="22"/>
        </w:rPr>
        <w:t>n</w:t>
      </w:r>
      <w:r w:rsidRPr="0010082D">
        <w:rPr>
          <w:szCs w:val="22"/>
        </w:rPr>
        <w:t xml:space="preserve">fang 2013 hat sich sein Wert zum Euro bis heute halbiert. Im gleichen Zeitraum ging die russische Industrieproduktion zurück. Die Bestellungen deutscher Werkzeugmaschinen sanken auf weniger als die Hälfte des Wertes von 2013. </w:t>
      </w:r>
    </w:p>
    <w:p w:rsidR="0010082D" w:rsidRPr="0010082D" w:rsidRDefault="0010082D" w:rsidP="0010082D">
      <w:pPr>
        <w:tabs>
          <w:tab w:val="left" w:pos="7654"/>
        </w:tabs>
        <w:spacing w:line="240" w:lineRule="auto"/>
        <w:rPr>
          <w:szCs w:val="22"/>
        </w:rPr>
      </w:pPr>
    </w:p>
    <w:p w:rsidR="0010082D" w:rsidRPr="0010082D" w:rsidRDefault="0010082D" w:rsidP="0010082D">
      <w:pPr>
        <w:tabs>
          <w:tab w:val="left" w:pos="7654"/>
        </w:tabs>
        <w:spacing w:line="240" w:lineRule="auto"/>
        <w:rPr>
          <w:szCs w:val="22"/>
        </w:rPr>
      </w:pPr>
      <w:r>
        <w:rPr>
          <w:szCs w:val="22"/>
        </w:rPr>
        <w:t>„</w:t>
      </w:r>
      <w:r w:rsidRPr="0010082D">
        <w:rPr>
          <w:szCs w:val="22"/>
        </w:rPr>
        <w:t>Es bleibt zu hoffen, dass die aktuellen Verhandlungen um eine politische L</w:t>
      </w:r>
      <w:r w:rsidRPr="0010082D">
        <w:rPr>
          <w:szCs w:val="22"/>
        </w:rPr>
        <w:t>ö</w:t>
      </w:r>
      <w:r w:rsidRPr="0010082D">
        <w:rPr>
          <w:szCs w:val="22"/>
        </w:rPr>
        <w:t xml:space="preserve">sung </w:t>
      </w:r>
      <w:r w:rsidR="00A66B32">
        <w:rPr>
          <w:szCs w:val="22"/>
        </w:rPr>
        <w:t xml:space="preserve">bald </w:t>
      </w:r>
      <w:r w:rsidRPr="0010082D">
        <w:rPr>
          <w:szCs w:val="22"/>
        </w:rPr>
        <w:t>zum Erfolg führen</w:t>
      </w:r>
      <w:r>
        <w:rPr>
          <w:szCs w:val="22"/>
        </w:rPr>
        <w:t>“ sagt Kapp</w:t>
      </w:r>
      <w:r w:rsidRPr="0010082D">
        <w:rPr>
          <w:szCs w:val="22"/>
        </w:rPr>
        <w:t>. Selbst</w:t>
      </w:r>
      <w:r>
        <w:rPr>
          <w:szCs w:val="22"/>
        </w:rPr>
        <w:t xml:space="preserve"> dann werde</w:t>
      </w:r>
      <w:r w:rsidRPr="0010082D">
        <w:rPr>
          <w:szCs w:val="22"/>
        </w:rPr>
        <w:t xml:space="preserve"> es noch sehr lange dauern, bis Geschäfte wieder normal laufen, denn die Vertrauens- und Fina</w:t>
      </w:r>
      <w:r w:rsidRPr="0010082D">
        <w:rPr>
          <w:szCs w:val="22"/>
        </w:rPr>
        <w:t>n</w:t>
      </w:r>
      <w:r w:rsidR="00C81F75">
        <w:rPr>
          <w:szCs w:val="22"/>
        </w:rPr>
        <w:t>zierungskrise sei</w:t>
      </w:r>
      <w:r w:rsidR="00A9058C">
        <w:rPr>
          <w:szCs w:val="22"/>
        </w:rPr>
        <w:t>en</w:t>
      </w:r>
      <w:r w:rsidRPr="0010082D">
        <w:rPr>
          <w:szCs w:val="22"/>
        </w:rPr>
        <w:t xml:space="preserve"> damit noch lange nicht beendet. </w:t>
      </w:r>
    </w:p>
    <w:p w:rsidR="0064012C" w:rsidRDefault="0064012C" w:rsidP="0010082D">
      <w:pPr>
        <w:tabs>
          <w:tab w:val="left" w:pos="7654"/>
        </w:tabs>
        <w:spacing w:line="240" w:lineRule="auto"/>
        <w:rPr>
          <w:szCs w:val="22"/>
        </w:rPr>
      </w:pPr>
    </w:p>
    <w:p w:rsidR="0010082D" w:rsidRDefault="0010082D" w:rsidP="0010082D">
      <w:pPr>
        <w:tabs>
          <w:tab w:val="left" w:pos="7654"/>
        </w:tabs>
        <w:spacing w:line="240" w:lineRule="auto"/>
        <w:ind w:right="-1"/>
        <w:rPr>
          <w:szCs w:val="22"/>
        </w:rPr>
      </w:pPr>
      <w:r>
        <w:rPr>
          <w:szCs w:val="22"/>
        </w:rPr>
        <w:t>Große Chancen für das Geschäft mit den USA sehen die Werkzeugmaschine</w:t>
      </w:r>
      <w:r>
        <w:rPr>
          <w:szCs w:val="22"/>
        </w:rPr>
        <w:t>n</w:t>
      </w:r>
      <w:r>
        <w:rPr>
          <w:szCs w:val="22"/>
        </w:rPr>
        <w:t>hersteller hingegen durch den zügigen Abschluss de</w:t>
      </w:r>
      <w:r w:rsidRPr="0010082D">
        <w:rPr>
          <w:szCs w:val="22"/>
        </w:rPr>
        <w:t>s transatlantische</w:t>
      </w:r>
      <w:r>
        <w:rPr>
          <w:szCs w:val="22"/>
        </w:rPr>
        <w:t>n</w:t>
      </w:r>
      <w:r w:rsidRPr="0010082D">
        <w:rPr>
          <w:szCs w:val="22"/>
        </w:rPr>
        <w:t xml:space="preserve"> Fre</w:t>
      </w:r>
      <w:r w:rsidRPr="0010082D">
        <w:rPr>
          <w:szCs w:val="22"/>
        </w:rPr>
        <w:t>i</w:t>
      </w:r>
      <w:r w:rsidRPr="0010082D">
        <w:rPr>
          <w:szCs w:val="22"/>
        </w:rPr>
        <w:t>handelsabkommen</w:t>
      </w:r>
      <w:r>
        <w:rPr>
          <w:szCs w:val="22"/>
        </w:rPr>
        <w:t>s</w:t>
      </w:r>
      <w:r w:rsidRPr="0010082D">
        <w:rPr>
          <w:szCs w:val="22"/>
        </w:rPr>
        <w:t xml:space="preserve"> </w:t>
      </w:r>
      <w:r>
        <w:rPr>
          <w:szCs w:val="22"/>
        </w:rPr>
        <w:t xml:space="preserve">TTIP. </w:t>
      </w:r>
      <w:r w:rsidRPr="0010082D">
        <w:rPr>
          <w:szCs w:val="22"/>
        </w:rPr>
        <w:t>Im Mittel</w:t>
      </w:r>
      <w:r>
        <w:rPr>
          <w:szCs w:val="22"/>
        </w:rPr>
        <w:t xml:space="preserve">punkt </w:t>
      </w:r>
      <w:r w:rsidRPr="0010082D">
        <w:rPr>
          <w:szCs w:val="22"/>
        </w:rPr>
        <w:t>steht der uneingeschränkte Marktz</w:t>
      </w:r>
      <w:r w:rsidRPr="0010082D">
        <w:rPr>
          <w:szCs w:val="22"/>
        </w:rPr>
        <w:t>u</w:t>
      </w:r>
      <w:r w:rsidRPr="0010082D">
        <w:rPr>
          <w:szCs w:val="22"/>
        </w:rPr>
        <w:t>gang zu g</w:t>
      </w:r>
      <w:r w:rsidR="00A66B32">
        <w:rPr>
          <w:szCs w:val="22"/>
        </w:rPr>
        <w:t>leichen Bedingungen wie für heimische</w:t>
      </w:r>
      <w:r w:rsidRPr="0010082D">
        <w:rPr>
          <w:szCs w:val="22"/>
        </w:rPr>
        <w:t xml:space="preserve"> Her</w:t>
      </w:r>
      <w:r w:rsidR="00C81F75">
        <w:rPr>
          <w:szCs w:val="22"/>
        </w:rPr>
        <w:t>steller. V</w:t>
      </w:r>
      <w:r>
        <w:rPr>
          <w:szCs w:val="22"/>
        </w:rPr>
        <w:t xml:space="preserve">or allem </w:t>
      </w:r>
      <w:r w:rsidR="00C81F75">
        <w:rPr>
          <w:szCs w:val="22"/>
        </w:rPr>
        <w:t>die</w:t>
      </w:r>
      <w:r>
        <w:rPr>
          <w:szCs w:val="22"/>
        </w:rPr>
        <w:t xml:space="preserve"> </w:t>
      </w:r>
      <w:r w:rsidRPr="0010082D">
        <w:rPr>
          <w:szCs w:val="22"/>
        </w:rPr>
        <w:t>Angleichung technischer Stan</w:t>
      </w:r>
      <w:r>
        <w:rPr>
          <w:szCs w:val="22"/>
        </w:rPr>
        <w:t xml:space="preserve">dards </w:t>
      </w:r>
      <w:r w:rsidR="00C81F75">
        <w:rPr>
          <w:szCs w:val="22"/>
        </w:rPr>
        <w:t xml:space="preserve">erlaubt es </w:t>
      </w:r>
      <w:r>
        <w:rPr>
          <w:szCs w:val="22"/>
        </w:rPr>
        <w:t>deutsche</w:t>
      </w:r>
      <w:r w:rsidR="00C81F75">
        <w:rPr>
          <w:szCs w:val="22"/>
        </w:rPr>
        <w:t>n</w:t>
      </w:r>
      <w:r>
        <w:rPr>
          <w:szCs w:val="22"/>
        </w:rPr>
        <w:t xml:space="preserve"> </w:t>
      </w:r>
      <w:r w:rsidR="00600520">
        <w:rPr>
          <w:szCs w:val="22"/>
        </w:rPr>
        <w:t>Firmen</w:t>
      </w:r>
      <w:r>
        <w:rPr>
          <w:szCs w:val="22"/>
        </w:rPr>
        <w:t xml:space="preserve"> </w:t>
      </w:r>
      <w:r w:rsidRPr="0010082D">
        <w:rPr>
          <w:szCs w:val="22"/>
        </w:rPr>
        <w:t>ohne Meh</w:t>
      </w:r>
      <w:r w:rsidRPr="0010082D">
        <w:rPr>
          <w:szCs w:val="22"/>
        </w:rPr>
        <w:t>r</w:t>
      </w:r>
      <w:r w:rsidRPr="0010082D">
        <w:rPr>
          <w:szCs w:val="22"/>
        </w:rPr>
        <w:t>aufwand ihre Produkte im Schnitt um gut 20 Prozent preiswerter an</w:t>
      </w:r>
      <w:r w:rsidR="00C81F75">
        <w:rPr>
          <w:szCs w:val="22"/>
        </w:rPr>
        <w:t>zu</w:t>
      </w:r>
      <w:r w:rsidRPr="0010082D">
        <w:rPr>
          <w:szCs w:val="22"/>
        </w:rPr>
        <w:t>bieten</w:t>
      </w:r>
      <w:r w:rsidR="00C81F75">
        <w:rPr>
          <w:szCs w:val="22"/>
        </w:rPr>
        <w:t xml:space="preserve">. </w:t>
      </w:r>
      <w:r w:rsidRPr="0010082D">
        <w:rPr>
          <w:szCs w:val="22"/>
        </w:rPr>
        <w:t>Mit einem Anteil von rd. 10 Prozent sind die USA der zweitgrößte Markt für die deutsche Werkzeugmaschinenin</w:t>
      </w:r>
      <w:r>
        <w:rPr>
          <w:szCs w:val="22"/>
        </w:rPr>
        <w:t xml:space="preserve">dustrie. </w:t>
      </w:r>
    </w:p>
    <w:p w:rsidR="0010082D" w:rsidRPr="0010082D" w:rsidRDefault="0010082D" w:rsidP="0010082D">
      <w:pPr>
        <w:tabs>
          <w:tab w:val="left" w:pos="7654"/>
        </w:tabs>
        <w:spacing w:line="240" w:lineRule="auto"/>
        <w:ind w:right="-1"/>
        <w:rPr>
          <w:szCs w:val="22"/>
        </w:rPr>
      </w:pPr>
    </w:p>
    <w:p w:rsidR="0010082D" w:rsidRPr="0010082D" w:rsidRDefault="0010082D" w:rsidP="0010082D">
      <w:pPr>
        <w:tabs>
          <w:tab w:val="left" w:pos="7654"/>
        </w:tabs>
        <w:spacing w:line="240" w:lineRule="auto"/>
        <w:ind w:right="-1"/>
        <w:rPr>
          <w:b/>
          <w:szCs w:val="22"/>
        </w:rPr>
      </w:pPr>
      <w:r w:rsidRPr="0010082D">
        <w:rPr>
          <w:b/>
          <w:szCs w:val="22"/>
        </w:rPr>
        <w:t>Selbstregulierung der Energieeffizienz muss in Europa verpflichtend sein</w:t>
      </w:r>
    </w:p>
    <w:p w:rsidR="0010082D" w:rsidRPr="0010082D" w:rsidRDefault="00C81F75" w:rsidP="0010082D">
      <w:pPr>
        <w:spacing w:line="240" w:lineRule="auto"/>
        <w:rPr>
          <w:szCs w:val="22"/>
        </w:rPr>
      </w:pPr>
      <w:r>
        <w:rPr>
          <w:szCs w:val="22"/>
        </w:rPr>
        <w:t>Deutsche Hersteller überzeugen im weltweiten Wettbewerb durch ihre techn</w:t>
      </w:r>
      <w:r>
        <w:rPr>
          <w:szCs w:val="22"/>
        </w:rPr>
        <w:t>i</w:t>
      </w:r>
      <w:r>
        <w:rPr>
          <w:szCs w:val="22"/>
        </w:rPr>
        <w:t>sche F</w:t>
      </w:r>
      <w:r w:rsidR="00600520">
        <w:rPr>
          <w:szCs w:val="22"/>
        </w:rPr>
        <w:t>ührungsrolle. Erfolgreich sind</w:t>
      </w:r>
      <w:r>
        <w:rPr>
          <w:szCs w:val="22"/>
        </w:rPr>
        <w:t xml:space="preserve"> sie</w:t>
      </w:r>
      <w:r w:rsidR="00600520">
        <w:rPr>
          <w:szCs w:val="22"/>
        </w:rPr>
        <w:t xml:space="preserve"> u. a., weil sie</w:t>
      </w:r>
      <w:r w:rsidR="00A66B32">
        <w:rPr>
          <w:szCs w:val="22"/>
        </w:rPr>
        <w:t xml:space="preserve"> höchste</w:t>
      </w:r>
      <w:r>
        <w:rPr>
          <w:szCs w:val="22"/>
        </w:rPr>
        <w:t xml:space="preserve"> Effizienz verka</w:t>
      </w:r>
      <w:r>
        <w:rPr>
          <w:szCs w:val="22"/>
        </w:rPr>
        <w:t>u</w:t>
      </w:r>
      <w:r>
        <w:rPr>
          <w:szCs w:val="22"/>
        </w:rPr>
        <w:t xml:space="preserve">fen und dazu beitragen, Verschwendung </w:t>
      </w:r>
      <w:r w:rsidR="00A66B32">
        <w:rPr>
          <w:szCs w:val="22"/>
        </w:rPr>
        <w:t xml:space="preserve">jeder Art </w:t>
      </w:r>
      <w:r>
        <w:rPr>
          <w:szCs w:val="22"/>
        </w:rPr>
        <w:t>zu minimieren. Dennoch will d</w:t>
      </w:r>
      <w:r w:rsidR="003C4CE9">
        <w:rPr>
          <w:szCs w:val="22"/>
        </w:rPr>
        <w:t xml:space="preserve">ie Europäische Kommission </w:t>
      </w:r>
      <w:r w:rsidR="0010082D" w:rsidRPr="0010082D">
        <w:rPr>
          <w:szCs w:val="22"/>
        </w:rPr>
        <w:t>die Energieeffizienz von Werkzeugmaschi</w:t>
      </w:r>
      <w:r w:rsidR="003C4CE9">
        <w:rPr>
          <w:szCs w:val="22"/>
        </w:rPr>
        <w:t xml:space="preserve">nen </w:t>
      </w:r>
      <w:r w:rsidR="0010082D" w:rsidRPr="0010082D">
        <w:rPr>
          <w:szCs w:val="22"/>
        </w:rPr>
        <w:t>r</w:t>
      </w:r>
      <w:r w:rsidR="0010082D" w:rsidRPr="0010082D">
        <w:rPr>
          <w:szCs w:val="22"/>
        </w:rPr>
        <w:t>e</w:t>
      </w:r>
      <w:r w:rsidR="0010082D" w:rsidRPr="0010082D">
        <w:rPr>
          <w:szCs w:val="22"/>
        </w:rPr>
        <w:t>gulieren</w:t>
      </w:r>
      <w:r w:rsidR="003C4CE9">
        <w:rPr>
          <w:szCs w:val="22"/>
        </w:rPr>
        <w:t>. Dazu hat die</w:t>
      </w:r>
      <w:r w:rsidR="0010082D" w:rsidRPr="0010082D">
        <w:rPr>
          <w:szCs w:val="22"/>
        </w:rPr>
        <w:t xml:space="preserve"> europäische Industrie</w:t>
      </w:r>
      <w:r w:rsidR="003C4CE9">
        <w:rPr>
          <w:szCs w:val="22"/>
        </w:rPr>
        <w:t xml:space="preserve"> eine </w:t>
      </w:r>
      <w:r w:rsidR="0010082D" w:rsidRPr="0010082D">
        <w:rPr>
          <w:szCs w:val="22"/>
        </w:rPr>
        <w:t xml:space="preserve">Selbstregulierung (SRI) </w:t>
      </w:r>
      <w:r w:rsidR="003C4CE9">
        <w:rPr>
          <w:szCs w:val="22"/>
        </w:rPr>
        <w:t>vo</w:t>
      </w:r>
      <w:r w:rsidR="003C4CE9">
        <w:rPr>
          <w:szCs w:val="22"/>
        </w:rPr>
        <w:t>r</w:t>
      </w:r>
      <w:r w:rsidR="003C4CE9">
        <w:rPr>
          <w:szCs w:val="22"/>
        </w:rPr>
        <w:t>geschlagen. Im Rahmen des</w:t>
      </w:r>
      <w:r w:rsidR="0010082D" w:rsidRPr="0010082D">
        <w:rPr>
          <w:szCs w:val="22"/>
        </w:rPr>
        <w:t xml:space="preserve"> offizielle</w:t>
      </w:r>
      <w:r w:rsidR="003C4CE9">
        <w:rPr>
          <w:szCs w:val="22"/>
        </w:rPr>
        <w:t>n</w:t>
      </w:r>
      <w:r w:rsidR="0010082D" w:rsidRPr="0010082D">
        <w:rPr>
          <w:szCs w:val="22"/>
        </w:rPr>
        <w:t xml:space="preserve"> Konsultationsforum</w:t>
      </w:r>
      <w:r w:rsidR="003C4CE9">
        <w:rPr>
          <w:szCs w:val="22"/>
        </w:rPr>
        <w:t>s mit der EU-Kommission wurde</w:t>
      </w:r>
      <w:r w:rsidR="00600520">
        <w:rPr>
          <w:szCs w:val="22"/>
        </w:rPr>
        <w:t xml:space="preserve"> sie</w:t>
      </w:r>
      <w:r w:rsidR="003C4CE9">
        <w:rPr>
          <w:szCs w:val="22"/>
        </w:rPr>
        <w:t xml:space="preserve"> </w:t>
      </w:r>
      <w:r w:rsidR="00A9058C">
        <w:rPr>
          <w:szCs w:val="22"/>
        </w:rPr>
        <w:t xml:space="preserve">Mitte letzten Jahres </w:t>
      </w:r>
      <w:r w:rsidR="003C4CE9">
        <w:rPr>
          <w:szCs w:val="22"/>
        </w:rPr>
        <w:t xml:space="preserve">als einzige </w:t>
      </w:r>
      <w:r w:rsidR="0010082D" w:rsidRPr="0010082D">
        <w:rPr>
          <w:szCs w:val="22"/>
        </w:rPr>
        <w:t>plausible Reguli</w:t>
      </w:r>
      <w:r w:rsidR="0010082D" w:rsidRPr="0010082D">
        <w:rPr>
          <w:szCs w:val="22"/>
        </w:rPr>
        <w:t>e</w:t>
      </w:r>
      <w:r w:rsidR="0010082D" w:rsidRPr="0010082D">
        <w:rPr>
          <w:szCs w:val="22"/>
        </w:rPr>
        <w:t xml:space="preserve">rungsoption </w:t>
      </w:r>
      <w:r w:rsidR="003C4CE9">
        <w:rPr>
          <w:szCs w:val="22"/>
        </w:rPr>
        <w:t>positiv bewertet</w:t>
      </w:r>
      <w:r w:rsidR="0010082D" w:rsidRPr="0010082D">
        <w:rPr>
          <w:szCs w:val="22"/>
        </w:rPr>
        <w:t xml:space="preserve">. </w:t>
      </w:r>
    </w:p>
    <w:p w:rsidR="0010082D" w:rsidRPr="0010082D" w:rsidRDefault="0010082D" w:rsidP="0010082D">
      <w:pPr>
        <w:spacing w:line="240" w:lineRule="auto"/>
        <w:rPr>
          <w:szCs w:val="22"/>
        </w:rPr>
      </w:pPr>
    </w:p>
    <w:p w:rsidR="0010082D" w:rsidRDefault="0010082D" w:rsidP="0010082D">
      <w:pPr>
        <w:spacing w:line="240" w:lineRule="auto"/>
        <w:rPr>
          <w:szCs w:val="22"/>
        </w:rPr>
      </w:pPr>
      <w:r w:rsidRPr="0010082D">
        <w:rPr>
          <w:szCs w:val="22"/>
        </w:rPr>
        <w:t>Selbstregulierung bedeutet, dass die Marktüberwachung durch die Branche selbst zu r</w:t>
      </w:r>
      <w:r w:rsidR="00C81F75">
        <w:rPr>
          <w:szCs w:val="22"/>
        </w:rPr>
        <w:t>egeln ist. Damit sie</w:t>
      </w:r>
      <w:r w:rsidR="00A66B32">
        <w:rPr>
          <w:szCs w:val="22"/>
        </w:rPr>
        <w:t xml:space="preserve"> Bestand hat, müssen 80 Prozent der </w:t>
      </w:r>
      <w:r w:rsidRPr="0010082D">
        <w:rPr>
          <w:szCs w:val="22"/>
        </w:rPr>
        <w:t>Markttei</w:t>
      </w:r>
      <w:r w:rsidRPr="0010082D">
        <w:rPr>
          <w:szCs w:val="22"/>
        </w:rPr>
        <w:t>l</w:t>
      </w:r>
      <w:r w:rsidRPr="0010082D">
        <w:rPr>
          <w:szCs w:val="22"/>
        </w:rPr>
        <w:t>nehmer</w:t>
      </w:r>
      <w:r w:rsidR="00600520">
        <w:rPr>
          <w:szCs w:val="22"/>
        </w:rPr>
        <w:t xml:space="preserve"> </w:t>
      </w:r>
      <w:r w:rsidR="00A66B32">
        <w:rPr>
          <w:szCs w:val="22"/>
        </w:rPr>
        <w:t xml:space="preserve">die Selbstregulierung </w:t>
      </w:r>
      <w:r w:rsidRPr="0010082D">
        <w:rPr>
          <w:szCs w:val="22"/>
        </w:rPr>
        <w:t xml:space="preserve">erfüllen. </w:t>
      </w:r>
      <w:r w:rsidR="00C81F75">
        <w:rPr>
          <w:szCs w:val="22"/>
        </w:rPr>
        <w:t>Die</w:t>
      </w:r>
      <w:r w:rsidR="00600520">
        <w:rPr>
          <w:szCs w:val="22"/>
        </w:rPr>
        <w:t>se</w:t>
      </w:r>
      <w:r w:rsidR="00C81F75">
        <w:rPr>
          <w:szCs w:val="22"/>
        </w:rPr>
        <w:t xml:space="preserve"> sind jedoch nicht verpflichtet, </w:t>
      </w:r>
      <w:r w:rsidR="00C81F75" w:rsidRPr="0010082D">
        <w:rPr>
          <w:szCs w:val="22"/>
        </w:rPr>
        <w:t>sich zu beteiligen.</w:t>
      </w:r>
    </w:p>
    <w:p w:rsidR="003C4CE9" w:rsidRPr="0010082D" w:rsidRDefault="003C4CE9" w:rsidP="0010082D">
      <w:pPr>
        <w:spacing w:line="240" w:lineRule="auto"/>
        <w:rPr>
          <w:szCs w:val="22"/>
        </w:rPr>
      </w:pPr>
    </w:p>
    <w:p w:rsidR="0010082D" w:rsidRPr="0010082D" w:rsidRDefault="00A66B32" w:rsidP="0010082D">
      <w:pPr>
        <w:spacing w:line="240" w:lineRule="auto"/>
        <w:rPr>
          <w:szCs w:val="22"/>
        </w:rPr>
      </w:pPr>
      <w:r>
        <w:rPr>
          <w:szCs w:val="22"/>
        </w:rPr>
        <w:t xml:space="preserve">Um </w:t>
      </w:r>
      <w:r w:rsidR="00C81F75">
        <w:rPr>
          <w:szCs w:val="22"/>
        </w:rPr>
        <w:t xml:space="preserve">sein Ziel zu erreichen, </w:t>
      </w:r>
      <w:r w:rsidR="003C4CE9">
        <w:rPr>
          <w:szCs w:val="22"/>
        </w:rPr>
        <w:t xml:space="preserve">präferiert </w:t>
      </w:r>
      <w:r w:rsidR="00C81F75">
        <w:rPr>
          <w:szCs w:val="22"/>
        </w:rPr>
        <w:t xml:space="preserve">der Verband </w:t>
      </w:r>
      <w:r w:rsidR="003C4CE9">
        <w:rPr>
          <w:szCs w:val="22"/>
        </w:rPr>
        <w:t xml:space="preserve">den </w:t>
      </w:r>
      <w:r w:rsidR="0010082D" w:rsidRPr="0010082D">
        <w:rPr>
          <w:szCs w:val="22"/>
        </w:rPr>
        <w:t>so genannten drit</w:t>
      </w:r>
      <w:r>
        <w:rPr>
          <w:szCs w:val="22"/>
        </w:rPr>
        <w:t>ten Weg. De</w:t>
      </w:r>
      <w:r w:rsidR="0010082D" w:rsidRPr="0010082D">
        <w:rPr>
          <w:szCs w:val="22"/>
        </w:rPr>
        <w:t>r sieht einen gesetzlichen Rahmen vor, in dem die Regulierung ve</w:t>
      </w:r>
      <w:r w:rsidR="0010082D" w:rsidRPr="0010082D">
        <w:rPr>
          <w:szCs w:val="22"/>
        </w:rPr>
        <w:t>r</w:t>
      </w:r>
      <w:r w:rsidR="0010082D" w:rsidRPr="0010082D">
        <w:rPr>
          <w:szCs w:val="22"/>
        </w:rPr>
        <w:t>bindlich für alle vorgeschrieben ist. Die Ausgestaltung technischer Maßnahmen wird dann w</w:t>
      </w:r>
      <w:r w:rsidR="00A9058C">
        <w:rPr>
          <w:szCs w:val="22"/>
        </w:rPr>
        <w:t xml:space="preserve">ieder an die Branche delegiert. </w:t>
      </w:r>
      <w:r w:rsidR="0010082D" w:rsidRPr="0010082D">
        <w:rPr>
          <w:szCs w:val="22"/>
        </w:rPr>
        <w:t>Die gegenwärtige EU-Richtlinie zum Ökodesign sieht bereits entsprechend gestaltete so genannte „</w:t>
      </w:r>
      <w:proofErr w:type="spellStart"/>
      <w:r w:rsidR="0010082D" w:rsidRPr="0010082D">
        <w:rPr>
          <w:szCs w:val="22"/>
        </w:rPr>
        <w:t>generic</w:t>
      </w:r>
      <w:proofErr w:type="spellEnd"/>
      <w:r w:rsidR="0010082D" w:rsidRPr="0010082D">
        <w:rPr>
          <w:szCs w:val="22"/>
        </w:rPr>
        <w:t xml:space="preserve"> </w:t>
      </w:r>
      <w:proofErr w:type="spellStart"/>
      <w:r w:rsidR="0010082D" w:rsidRPr="0010082D">
        <w:rPr>
          <w:szCs w:val="22"/>
        </w:rPr>
        <w:t>me</w:t>
      </w:r>
      <w:r w:rsidR="0010082D" w:rsidRPr="0010082D">
        <w:rPr>
          <w:szCs w:val="22"/>
        </w:rPr>
        <w:t>a</w:t>
      </w:r>
      <w:r w:rsidR="0010082D" w:rsidRPr="0010082D">
        <w:rPr>
          <w:szCs w:val="22"/>
        </w:rPr>
        <w:t>sures</w:t>
      </w:r>
      <w:proofErr w:type="spellEnd"/>
      <w:r w:rsidR="0010082D" w:rsidRPr="0010082D">
        <w:rPr>
          <w:szCs w:val="22"/>
        </w:rPr>
        <w:t xml:space="preserve">“ vor. </w:t>
      </w:r>
      <w:r w:rsidR="003C4CE9">
        <w:rPr>
          <w:szCs w:val="22"/>
        </w:rPr>
        <w:t>„</w:t>
      </w:r>
      <w:r w:rsidR="0010082D" w:rsidRPr="0010082D">
        <w:rPr>
          <w:szCs w:val="22"/>
        </w:rPr>
        <w:t>Leider wurden sie bisher seitens der Kommission nicht ernsthaft als Alternative zur reinen Verordnung oder zur Selbstregulierung diskutiert</w:t>
      </w:r>
      <w:r w:rsidR="003C4CE9">
        <w:rPr>
          <w:szCs w:val="22"/>
        </w:rPr>
        <w:t>“</w:t>
      </w:r>
      <w:r>
        <w:rPr>
          <w:szCs w:val="22"/>
        </w:rPr>
        <w:t>,</w:t>
      </w:r>
      <w:r w:rsidR="003C4CE9">
        <w:rPr>
          <w:szCs w:val="22"/>
        </w:rPr>
        <w:t xml:space="preserve"> beda</w:t>
      </w:r>
      <w:r w:rsidR="003C4CE9">
        <w:rPr>
          <w:szCs w:val="22"/>
        </w:rPr>
        <w:t>u</w:t>
      </w:r>
      <w:r w:rsidR="003C4CE9">
        <w:rPr>
          <w:szCs w:val="22"/>
        </w:rPr>
        <w:t>ert Kapp</w:t>
      </w:r>
      <w:r w:rsidR="0010082D" w:rsidRPr="0010082D">
        <w:rPr>
          <w:szCs w:val="22"/>
        </w:rPr>
        <w:t xml:space="preserve">. </w:t>
      </w:r>
      <w:r w:rsidR="003C4CE9">
        <w:rPr>
          <w:szCs w:val="22"/>
        </w:rPr>
        <w:t>„</w:t>
      </w:r>
      <w:r w:rsidR="0010082D" w:rsidRPr="0010082D">
        <w:rPr>
          <w:szCs w:val="22"/>
        </w:rPr>
        <w:t xml:space="preserve">Wir wünschen uns </w:t>
      </w:r>
      <w:r w:rsidR="003C4CE9">
        <w:rPr>
          <w:szCs w:val="22"/>
        </w:rPr>
        <w:t>jedoch</w:t>
      </w:r>
      <w:r w:rsidR="0010082D" w:rsidRPr="0010082D">
        <w:rPr>
          <w:szCs w:val="22"/>
        </w:rPr>
        <w:t xml:space="preserve"> einen offenen, ergebnisorientierten Dialog</w:t>
      </w:r>
      <w:r w:rsidR="003C4CE9">
        <w:rPr>
          <w:szCs w:val="22"/>
        </w:rPr>
        <w:t xml:space="preserve">, damit eine </w:t>
      </w:r>
      <w:r w:rsidR="0010082D" w:rsidRPr="0010082D">
        <w:rPr>
          <w:szCs w:val="22"/>
        </w:rPr>
        <w:t>pragmatisch</w:t>
      </w:r>
      <w:r w:rsidR="003C4CE9">
        <w:rPr>
          <w:szCs w:val="22"/>
        </w:rPr>
        <w:t>e</w:t>
      </w:r>
      <w:r w:rsidR="0010082D" w:rsidRPr="0010082D">
        <w:rPr>
          <w:szCs w:val="22"/>
        </w:rPr>
        <w:t xml:space="preserve"> und zielorientiert</w:t>
      </w:r>
      <w:r w:rsidR="003C4CE9">
        <w:rPr>
          <w:szCs w:val="22"/>
        </w:rPr>
        <w:t xml:space="preserve">e Umsetzung </w:t>
      </w:r>
      <w:r w:rsidR="0010082D" w:rsidRPr="0010082D">
        <w:rPr>
          <w:szCs w:val="22"/>
        </w:rPr>
        <w:t>erfolgen</w:t>
      </w:r>
      <w:r w:rsidR="003C4CE9">
        <w:rPr>
          <w:szCs w:val="22"/>
        </w:rPr>
        <w:t xml:space="preserve"> kann.“</w:t>
      </w:r>
      <w:r w:rsidR="0010082D" w:rsidRPr="0010082D">
        <w:rPr>
          <w:szCs w:val="22"/>
        </w:rPr>
        <w:t xml:space="preserve"> </w:t>
      </w:r>
    </w:p>
    <w:sectPr w:rsidR="0010082D" w:rsidRPr="0010082D" w:rsidSect="00491395">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2665" w:right="2693" w:bottom="1134" w:left="1418" w:header="737" w:footer="567"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68A" w:rsidRDefault="008B768A">
      <w:r>
        <w:separator/>
      </w:r>
    </w:p>
  </w:endnote>
  <w:endnote w:type="continuationSeparator" w:id="0">
    <w:p w:rsidR="008B768A" w:rsidRDefault="008B7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20" w:rsidRDefault="007509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8A" w:rsidRDefault="008B768A">
    <w:pPr>
      <w:pStyle w:val="Fuzeile"/>
      <w:spacing w:line="20" w:lineRule="exact"/>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8A" w:rsidRDefault="008B768A" w:rsidP="0050117F">
    <w:pPr>
      <w:pStyle w:val="Fuzeile"/>
    </w:pPr>
  </w:p>
  <w:tbl>
    <w:tblPr>
      <w:tblW w:w="9866" w:type="dxa"/>
      <w:tblInd w:w="8" w:type="dxa"/>
      <w:tblLayout w:type="fixed"/>
      <w:tblCellMar>
        <w:left w:w="0" w:type="dxa"/>
        <w:right w:w="0" w:type="dxa"/>
      </w:tblCellMar>
      <w:tblLook w:val="0000" w:firstRow="0" w:lastRow="0" w:firstColumn="0" w:lastColumn="0" w:noHBand="0" w:noVBand="0"/>
    </w:tblPr>
    <w:tblGrid>
      <w:gridCol w:w="2442"/>
      <w:gridCol w:w="2548"/>
      <w:gridCol w:w="2799"/>
      <w:gridCol w:w="2077"/>
    </w:tblGrid>
    <w:tr w:rsidR="008B768A" w:rsidRPr="00851C72">
      <w:tc>
        <w:tcPr>
          <w:tcW w:w="2442" w:type="dxa"/>
        </w:tcPr>
        <w:p w:rsidR="008B768A" w:rsidRPr="00362226" w:rsidRDefault="008B768A" w:rsidP="000012C6">
          <w:pPr>
            <w:spacing w:line="160" w:lineRule="exact"/>
            <w:rPr>
              <w:sz w:val="14"/>
            </w:rPr>
          </w:pPr>
          <w:r w:rsidRPr="00362226">
            <w:rPr>
              <w:sz w:val="14"/>
            </w:rPr>
            <w:t>Verein Deutscher</w:t>
          </w:r>
        </w:p>
        <w:p w:rsidR="008B768A" w:rsidRPr="00362226" w:rsidRDefault="008B768A" w:rsidP="000012C6">
          <w:pPr>
            <w:spacing w:line="160" w:lineRule="exact"/>
            <w:rPr>
              <w:sz w:val="14"/>
            </w:rPr>
          </w:pPr>
          <w:r w:rsidRPr="00362226">
            <w:rPr>
              <w:sz w:val="14"/>
            </w:rPr>
            <w:t>Werkzeugmaschinenfabriken e.V.</w:t>
          </w:r>
        </w:p>
        <w:p w:rsidR="008B768A" w:rsidRDefault="008B768A" w:rsidP="000012C6">
          <w:pPr>
            <w:spacing w:line="160" w:lineRule="exact"/>
            <w:rPr>
              <w:sz w:val="14"/>
            </w:rPr>
          </w:pPr>
        </w:p>
      </w:tc>
      <w:tc>
        <w:tcPr>
          <w:tcW w:w="2548" w:type="dxa"/>
        </w:tcPr>
        <w:p w:rsidR="008B768A" w:rsidRDefault="008B768A" w:rsidP="000012C6">
          <w:pPr>
            <w:spacing w:line="160" w:lineRule="exact"/>
            <w:rPr>
              <w:sz w:val="14"/>
            </w:rPr>
          </w:pPr>
          <w:r>
            <w:rPr>
              <w:sz w:val="14"/>
            </w:rPr>
            <w:t>Vorsitzende</w:t>
          </w:r>
          <w:r w:rsidRPr="009F2281">
            <w:rPr>
              <w:spacing w:val="20"/>
              <w:sz w:val="14"/>
              <w:szCs w:val="14"/>
            </w:rPr>
            <w:t>r/</w:t>
          </w:r>
          <w:r>
            <w:rPr>
              <w:sz w:val="14"/>
            </w:rPr>
            <w:t>Chairman:</w:t>
          </w:r>
        </w:p>
        <w:p w:rsidR="008B768A" w:rsidRDefault="008B768A" w:rsidP="000012C6">
          <w:pPr>
            <w:spacing w:line="160" w:lineRule="exact"/>
            <w:rPr>
              <w:sz w:val="14"/>
            </w:rPr>
          </w:pPr>
          <w:r>
            <w:rPr>
              <w:sz w:val="14"/>
            </w:rPr>
            <w:t>Martin Kapp</w:t>
          </w:r>
        </w:p>
        <w:p w:rsidR="008B768A" w:rsidRDefault="008B768A" w:rsidP="000012C6">
          <w:pPr>
            <w:spacing w:line="160" w:lineRule="exact"/>
            <w:rPr>
              <w:sz w:val="14"/>
            </w:rPr>
          </w:pPr>
          <w:r>
            <w:rPr>
              <w:sz w:val="14"/>
            </w:rPr>
            <w:t>Geschäftsführe</w:t>
          </w:r>
          <w:r w:rsidRPr="009F2281">
            <w:rPr>
              <w:spacing w:val="20"/>
              <w:sz w:val="14"/>
              <w:szCs w:val="14"/>
            </w:rPr>
            <w:t>r/</w:t>
          </w:r>
          <w:r>
            <w:rPr>
              <w:sz w:val="14"/>
            </w:rPr>
            <w:t xml:space="preserve">Executive </w:t>
          </w:r>
          <w:proofErr w:type="spellStart"/>
          <w:r>
            <w:rPr>
              <w:sz w:val="14"/>
            </w:rPr>
            <w:t>Director</w:t>
          </w:r>
          <w:proofErr w:type="spellEnd"/>
          <w:r>
            <w:rPr>
              <w:sz w:val="14"/>
            </w:rPr>
            <w:t>:</w:t>
          </w:r>
        </w:p>
        <w:p w:rsidR="008B768A" w:rsidRDefault="008B768A" w:rsidP="000012C6">
          <w:pPr>
            <w:spacing w:line="160" w:lineRule="exact"/>
            <w:rPr>
              <w:sz w:val="14"/>
            </w:rPr>
          </w:pPr>
          <w:r>
            <w:rPr>
              <w:sz w:val="14"/>
            </w:rPr>
            <w:t>Dr.-Ing. Wilfried Schäfer</w:t>
          </w:r>
        </w:p>
      </w:tc>
      <w:tc>
        <w:tcPr>
          <w:tcW w:w="2799" w:type="dxa"/>
        </w:tcPr>
        <w:p w:rsidR="008B768A" w:rsidRDefault="008B768A" w:rsidP="000012C6">
          <w:pPr>
            <w:tabs>
              <w:tab w:val="left" w:pos="539"/>
            </w:tabs>
            <w:spacing w:line="160" w:lineRule="exact"/>
            <w:rPr>
              <w:sz w:val="14"/>
            </w:rPr>
          </w:pPr>
          <w:r>
            <w:rPr>
              <w:sz w:val="14"/>
            </w:rPr>
            <w:t>Registergerich</w:t>
          </w:r>
          <w:r w:rsidRPr="009F2281">
            <w:rPr>
              <w:spacing w:val="20"/>
              <w:sz w:val="14"/>
              <w:szCs w:val="14"/>
            </w:rPr>
            <w:t>t/</w:t>
          </w:r>
          <w:r>
            <w:rPr>
              <w:sz w:val="14"/>
            </w:rPr>
            <w:t>Registration Office: Amtsg</w:t>
          </w:r>
          <w:r>
            <w:rPr>
              <w:sz w:val="14"/>
            </w:rPr>
            <w:t>e</w:t>
          </w:r>
          <w:r>
            <w:rPr>
              <w:sz w:val="14"/>
            </w:rPr>
            <w:t>richt Frankfurt am Main</w:t>
          </w:r>
        </w:p>
        <w:p w:rsidR="008B768A" w:rsidRPr="0052444D" w:rsidRDefault="008B768A" w:rsidP="000012C6">
          <w:pPr>
            <w:tabs>
              <w:tab w:val="left" w:pos="539"/>
            </w:tabs>
            <w:spacing w:line="160" w:lineRule="exact"/>
            <w:rPr>
              <w:sz w:val="14"/>
              <w:lang w:val="en-GB"/>
            </w:rPr>
          </w:pPr>
          <w:proofErr w:type="spellStart"/>
          <w:r w:rsidRPr="0052444D">
            <w:rPr>
              <w:sz w:val="14"/>
              <w:lang w:val="en-GB"/>
            </w:rPr>
            <w:t>Vereinsregiste</w:t>
          </w:r>
          <w:r w:rsidRPr="0052444D">
            <w:rPr>
              <w:spacing w:val="20"/>
              <w:sz w:val="14"/>
              <w:szCs w:val="14"/>
              <w:lang w:val="en-GB"/>
            </w:rPr>
            <w:t>r</w:t>
          </w:r>
          <w:proofErr w:type="spellEnd"/>
          <w:r w:rsidRPr="0052444D">
            <w:rPr>
              <w:spacing w:val="20"/>
              <w:sz w:val="14"/>
              <w:szCs w:val="14"/>
              <w:lang w:val="en-GB"/>
            </w:rPr>
            <w:t>/</w:t>
          </w:r>
          <w:r w:rsidRPr="0052444D">
            <w:rPr>
              <w:sz w:val="14"/>
              <w:lang w:val="en-GB"/>
            </w:rPr>
            <w:t>Society Register: VR4966</w:t>
          </w:r>
        </w:p>
        <w:p w:rsidR="008B768A" w:rsidRPr="0052444D" w:rsidRDefault="008B768A" w:rsidP="000012C6">
          <w:pPr>
            <w:tabs>
              <w:tab w:val="left" w:pos="539"/>
            </w:tabs>
            <w:spacing w:line="160" w:lineRule="exact"/>
            <w:rPr>
              <w:sz w:val="14"/>
              <w:szCs w:val="14"/>
              <w:lang w:val="en-GB"/>
            </w:rPr>
          </w:pPr>
          <w:r w:rsidRPr="0052444D">
            <w:rPr>
              <w:sz w:val="14"/>
              <w:szCs w:val="14"/>
              <w:lang w:val="en-GB"/>
            </w:rPr>
            <w:t>Ust.ID-Nr</w:t>
          </w:r>
          <w:r w:rsidRPr="0052444D">
            <w:rPr>
              <w:spacing w:val="20"/>
              <w:sz w:val="14"/>
              <w:szCs w:val="14"/>
              <w:lang w:val="en-GB"/>
            </w:rPr>
            <w:t>./</w:t>
          </w:r>
          <w:r w:rsidRPr="0052444D">
            <w:rPr>
              <w:sz w:val="14"/>
              <w:szCs w:val="14"/>
              <w:lang w:val="en-GB"/>
            </w:rPr>
            <w:t>VAT No.: DE 114 10 88 36</w:t>
          </w:r>
        </w:p>
      </w:tc>
      <w:tc>
        <w:tcPr>
          <w:tcW w:w="2077" w:type="dxa"/>
        </w:tcPr>
        <w:p w:rsidR="008B768A" w:rsidRPr="0052444D" w:rsidRDefault="008B768A" w:rsidP="000012C6">
          <w:pPr>
            <w:pStyle w:val="berschrift2"/>
            <w:framePr w:hSpace="0" w:wrap="auto" w:vAnchor="margin" w:hAnchor="text" w:xAlign="left" w:yAlign="inline" w:anchorLock="1"/>
            <w:spacing w:line="160" w:lineRule="exact"/>
            <w:rPr>
              <w:b w:val="0"/>
              <w:lang w:val="en-GB"/>
            </w:rPr>
          </w:pPr>
        </w:p>
      </w:tc>
    </w:tr>
  </w:tbl>
  <w:p w:rsidR="008B768A" w:rsidRPr="0052444D" w:rsidRDefault="008B768A" w:rsidP="0050117F">
    <w:pPr>
      <w:pStyle w:val="Fuzeile"/>
      <w:spacing w:line="20" w:lineRule="exact"/>
      <w:rPr>
        <w:sz w:val="2"/>
        <w:lang w:val="en-GB"/>
      </w:rPr>
    </w:pPr>
  </w:p>
  <w:p w:rsidR="008B768A" w:rsidRPr="000E724C" w:rsidRDefault="008B768A" w:rsidP="0050117F">
    <w:pPr>
      <w:pStyle w:val="Fuzeile"/>
      <w:framePr w:w="331" w:h="6288" w:hRule="exact" w:hSpace="181" w:wrap="around" w:vAnchor="text" w:hAnchor="page" w:x="528" w:y="1"/>
      <w:spacing w:line="240" w:lineRule="exact"/>
      <w:textDirection w:val="btLr"/>
      <w:rPr>
        <w:sz w:val="14"/>
        <w:szCs w:val="14"/>
        <w:lang w:val="en-US"/>
      </w:rPr>
    </w:pPr>
  </w:p>
  <w:p w:rsidR="008B768A" w:rsidRPr="000E724C" w:rsidRDefault="008B768A" w:rsidP="0050117F">
    <w:pPr>
      <w:pStyle w:val="Fuzeile"/>
      <w:spacing w:line="20" w:lineRule="exact"/>
      <w:rPr>
        <w:sz w:val="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68A" w:rsidRDefault="008B768A">
      <w:r>
        <w:separator/>
      </w:r>
    </w:p>
  </w:footnote>
  <w:footnote w:type="continuationSeparator" w:id="0">
    <w:p w:rsidR="008B768A" w:rsidRDefault="008B7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20" w:rsidRDefault="007509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655"/>
      <w:gridCol w:w="2608"/>
    </w:tblGrid>
    <w:tr w:rsidR="008B768A">
      <w:trPr>
        <w:trHeight w:hRule="exact" w:val="1950"/>
      </w:trPr>
      <w:tc>
        <w:tcPr>
          <w:tcW w:w="7655" w:type="dxa"/>
        </w:tcPr>
        <w:p w:rsidR="008B768A" w:rsidRDefault="008B768A" w:rsidP="00274D7F">
          <w:r>
            <w:t xml:space="preserve">Seite </w:t>
          </w:r>
          <w:r>
            <w:fldChar w:fldCharType="begin"/>
          </w:r>
          <w:r>
            <w:instrText xml:space="preserve"> PAGE </w:instrText>
          </w:r>
          <w:r>
            <w:fldChar w:fldCharType="separate"/>
          </w:r>
          <w:r w:rsidR="00F4494F">
            <w:rPr>
              <w:noProof/>
            </w:rPr>
            <w:t>3</w:t>
          </w:r>
          <w:r>
            <w:fldChar w:fldCharType="end"/>
          </w:r>
          <w:r>
            <w:t>/</w:t>
          </w:r>
          <w:r w:rsidR="00F4494F">
            <w:fldChar w:fldCharType="begin"/>
          </w:r>
          <w:r w:rsidR="00F4494F">
            <w:instrText xml:space="preserve"> NUMPAGES </w:instrText>
          </w:r>
          <w:r w:rsidR="00F4494F">
            <w:fldChar w:fldCharType="separate"/>
          </w:r>
          <w:r w:rsidR="00F4494F">
            <w:rPr>
              <w:noProof/>
            </w:rPr>
            <w:t>3</w:t>
          </w:r>
          <w:r w:rsidR="00F4494F">
            <w:rPr>
              <w:noProof/>
            </w:rPr>
            <w:fldChar w:fldCharType="end"/>
          </w:r>
          <w:r>
            <w:t xml:space="preserve"> · VDW · </w:t>
          </w:r>
          <w:r>
            <w:fldChar w:fldCharType="begin"/>
          </w:r>
          <w:r>
            <w:instrText xml:space="preserve"> STYLEREF Initials \* MERGEFORMAT </w:instrText>
          </w:r>
          <w:r>
            <w:fldChar w:fldCharType="end"/>
          </w:r>
          <w:r>
            <w:t xml:space="preserve"> Pressemitteilung 11. Februar 2015</w:t>
          </w:r>
          <w:r w:rsidR="00750920">
            <w:t xml:space="preserve"> </w:t>
          </w:r>
          <w:r>
            <w:t xml:space="preserve">· </w:t>
          </w:r>
          <w:r>
            <w:fldChar w:fldCharType="begin"/>
          </w:r>
          <w:r>
            <w:instrText xml:space="preserve"> STYLEREF Dates \* MERGEFORMAT </w:instrText>
          </w:r>
          <w:r>
            <w:fldChar w:fldCharType="end"/>
          </w:r>
        </w:p>
      </w:tc>
      <w:tc>
        <w:tcPr>
          <w:tcW w:w="2608" w:type="dxa"/>
        </w:tcPr>
        <w:p w:rsidR="008B768A" w:rsidRDefault="008B768A"/>
      </w:tc>
    </w:tr>
  </w:tbl>
  <w:p w:rsidR="008B768A" w:rsidRDefault="008B768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8" w:type="dxa"/>
      <w:tblLayout w:type="fixed"/>
      <w:tblCellMar>
        <w:left w:w="0" w:type="dxa"/>
        <w:right w:w="0" w:type="dxa"/>
      </w:tblCellMar>
      <w:tblLook w:val="0000" w:firstRow="0" w:lastRow="0" w:firstColumn="0" w:lastColumn="0" w:noHBand="0" w:noVBand="0"/>
    </w:tblPr>
    <w:tblGrid>
      <w:gridCol w:w="10348"/>
    </w:tblGrid>
    <w:tr w:rsidR="008B768A">
      <w:trPr>
        <w:cantSplit/>
        <w:trHeight w:hRule="exact" w:val="1920"/>
      </w:trPr>
      <w:tc>
        <w:tcPr>
          <w:tcW w:w="10348" w:type="dxa"/>
        </w:tcPr>
        <w:p w:rsidR="008B768A" w:rsidRDefault="008B768A">
          <w:pPr>
            <w:pStyle w:val="Titel1"/>
          </w:pPr>
          <w:r>
            <w:rPr>
              <w:noProof/>
            </w:rPr>
            <w:drawing>
              <wp:inline distT="0" distB="0" distL="0" distR="0" wp14:anchorId="403225D9" wp14:editId="5EE2DB35">
                <wp:extent cx="4281170" cy="367030"/>
                <wp:effectExtent l="0" t="0" r="0" b="0"/>
                <wp:docPr id="2" name="Bild 1" descr="Beschreibung: 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Grafi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1170" cy="367030"/>
                        </a:xfrm>
                        <a:prstGeom prst="rect">
                          <a:avLst/>
                        </a:prstGeom>
                        <a:noFill/>
                        <a:ln>
                          <a:noFill/>
                        </a:ln>
                      </pic:spPr>
                    </pic:pic>
                  </a:graphicData>
                </a:graphic>
              </wp:inline>
            </w:drawing>
          </w:r>
        </w:p>
      </w:tc>
    </w:tr>
  </w:tbl>
  <w:p w:rsidR="008B768A" w:rsidRDefault="008B768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B241D"/>
    <w:multiLevelType w:val="hybridMultilevel"/>
    <w:tmpl w:val="5E80E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8AA"/>
    <w:rsid w:val="000012C6"/>
    <w:rsid w:val="00037D33"/>
    <w:rsid w:val="00050577"/>
    <w:rsid w:val="000D6B28"/>
    <w:rsid w:val="000E724C"/>
    <w:rsid w:val="0010082D"/>
    <w:rsid w:val="00100A0F"/>
    <w:rsid w:val="001420C3"/>
    <w:rsid w:val="00146D7A"/>
    <w:rsid w:val="0015503D"/>
    <w:rsid w:val="001A0A28"/>
    <w:rsid w:val="001D476E"/>
    <w:rsid w:val="001E60C4"/>
    <w:rsid w:val="00260128"/>
    <w:rsid w:val="00274D7F"/>
    <w:rsid w:val="0033047F"/>
    <w:rsid w:val="00362226"/>
    <w:rsid w:val="00383AD0"/>
    <w:rsid w:val="003C4CE9"/>
    <w:rsid w:val="0043362F"/>
    <w:rsid w:val="0045618F"/>
    <w:rsid w:val="004600B2"/>
    <w:rsid w:val="00491395"/>
    <w:rsid w:val="004B02D3"/>
    <w:rsid w:val="004E5BAC"/>
    <w:rsid w:val="004F264A"/>
    <w:rsid w:val="0050117F"/>
    <w:rsid w:val="00504DD2"/>
    <w:rsid w:val="00511DE0"/>
    <w:rsid w:val="0052444D"/>
    <w:rsid w:val="005C217E"/>
    <w:rsid w:val="00600520"/>
    <w:rsid w:val="0064012C"/>
    <w:rsid w:val="00686963"/>
    <w:rsid w:val="006A1390"/>
    <w:rsid w:val="00750920"/>
    <w:rsid w:val="007669ED"/>
    <w:rsid w:val="00793F13"/>
    <w:rsid w:val="00794D1D"/>
    <w:rsid w:val="007B6219"/>
    <w:rsid w:val="00815230"/>
    <w:rsid w:val="00851C72"/>
    <w:rsid w:val="008534A1"/>
    <w:rsid w:val="00862F6B"/>
    <w:rsid w:val="008707D8"/>
    <w:rsid w:val="00892FE2"/>
    <w:rsid w:val="008962DE"/>
    <w:rsid w:val="008B768A"/>
    <w:rsid w:val="008C7577"/>
    <w:rsid w:val="008C75F1"/>
    <w:rsid w:val="00903281"/>
    <w:rsid w:val="009170BD"/>
    <w:rsid w:val="00947CFF"/>
    <w:rsid w:val="009967A4"/>
    <w:rsid w:val="009A2F36"/>
    <w:rsid w:val="009C1995"/>
    <w:rsid w:val="009D6C59"/>
    <w:rsid w:val="009F2281"/>
    <w:rsid w:val="009F2BAB"/>
    <w:rsid w:val="00A620F9"/>
    <w:rsid w:val="00A66B32"/>
    <w:rsid w:val="00A9058C"/>
    <w:rsid w:val="00AC5E54"/>
    <w:rsid w:val="00AE233D"/>
    <w:rsid w:val="00B11672"/>
    <w:rsid w:val="00B1593E"/>
    <w:rsid w:val="00B55F6C"/>
    <w:rsid w:val="00B663E3"/>
    <w:rsid w:val="00BC4E25"/>
    <w:rsid w:val="00BC6836"/>
    <w:rsid w:val="00BE7911"/>
    <w:rsid w:val="00C41F21"/>
    <w:rsid w:val="00C710CB"/>
    <w:rsid w:val="00C81F75"/>
    <w:rsid w:val="00C9718D"/>
    <w:rsid w:val="00CB5C29"/>
    <w:rsid w:val="00D02B32"/>
    <w:rsid w:val="00D14A4A"/>
    <w:rsid w:val="00D53BE8"/>
    <w:rsid w:val="00DB3C0E"/>
    <w:rsid w:val="00DC17E9"/>
    <w:rsid w:val="00E1666F"/>
    <w:rsid w:val="00E3021E"/>
    <w:rsid w:val="00E353FC"/>
    <w:rsid w:val="00E419A9"/>
    <w:rsid w:val="00E714F6"/>
    <w:rsid w:val="00E85100"/>
    <w:rsid w:val="00E87852"/>
    <w:rsid w:val="00EA2E13"/>
    <w:rsid w:val="00EC58AA"/>
    <w:rsid w:val="00EF0F35"/>
    <w:rsid w:val="00F01E07"/>
    <w:rsid w:val="00F4494F"/>
    <w:rsid w:val="00F81822"/>
    <w:rsid w:val="00FB37D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60" w:lineRule="atLeast"/>
    </w:pPr>
    <w:rPr>
      <w:rFonts w:ascii="Arial" w:hAnsi="Arial"/>
      <w:kern w:val="4"/>
      <w:sz w:val="22"/>
      <w:lang w:eastAsia="de-DE"/>
    </w:rPr>
  </w:style>
  <w:style w:type="paragraph" w:styleId="berschrift1">
    <w:name w:val="heading 1"/>
    <w:basedOn w:val="Standard"/>
    <w:next w:val="Standard"/>
    <w:link w:val="berschrift1Zchn"/>
    <w:uiPriority w:val="9"/>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link w:val="berschrift2Zchn"/>
    <w:uiPriority w:val="9"/>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534A1"/>
    <w:rPr>
      <w:rFonts w:ascii="Cambria" w:eastAsia="SimSun" w:hAnsi="Cambria"/>
      <w:b/>
      <w:kern w:val="32"/>
      <w:sz w:val="32"/>
      <w:lang w:val="x-none" w:eastAsia="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kern w:val="4"/>
      <w:sz w:val="28"/>
      <w:szCs w:val="28"/>
      <w:lang w:eastAsia="de-DE"/>
    </w:rPr>
  </w:style>
  <w:style w:type="paragraph" w:styleId="Kopfzeile">
    <w:name w:val="header"/>
    <w:basedOn w:val="Standard"/>
    <w:link w:val="KopfzeileZchn"/>
    <w:uiPriority w:val="99"/>
    <w:pPr>
      <w:widowControl w:val="0"/>
      <w:spacing w:line="600" w:lineRule="exact"/>
      <w:ind w:right="284"/>
      <w:jc w:val="right"/>
    </w:pPr>
    <w:rPr>
      <w:noProof/>
      <w:kern w:val="0"/>
    </w:rPr>
  </w:style>
  <w:style w:type="character" w:customStyle="1" w:styleId="KopfzeileZchn">
    <w:name w:val="Kopfzeile Zchn"/>
    <w:basedOn w:val="Absatz-Standardschriftart"/>
    <w:link w:val="Kopfzeile"/>
    <w:uiPriority w:val="99"/>
    <w:semiHidden/>
    <w:rPr>
      <w:rFonts w:ascii="Arial" w:hAnsi="Arial"/>
      <w:kern w:val="4"/>
      <w:sz w:val="22"/>
      <w:lang w:eastAsia="de-DE"/>
    </w:rPr>
  </w:style>
  <w:style w:type="paragraph" w:styleId="Fuzeile">
    <w:name w:val="footer"/>
    <w:basedOn w:val="Standard"/>
    <w:link w:val="FuzeileZchn"/>
    <w:uiPriority w:val="99"/>
    <w:rPr>
      <w:sz w:val="16"/>
    </w:rPr>
  </w:style>
  <w:style w:type="character" w:customStyle="1" w:styleId="FuzeileZchn">
    <w:name w:val="Fußzeile Zchn"/>
    <w:basedOn w:val="Absatz-Standardschriftart"/>
    <w:link w:val="Fuzeile"/>
    <w:uiPriority w:val="99"/>
    <w:semiHidden/>
    <w:rPr>
      <w:rFonts w:ascii="Arial" w:hAnsi="Arial"/>
      <w:kern w:val="4"/>
      <w:sz w:val="22"/>
      <w:lang w:eastAsia="de-DE"/>
    </w:rPr>
  </w:style>
  <w:style w:type="character" w:styleId="Kommentarzeichen">
    <w:name w:val="annotation reference"/>
    <w:basedOn w:val="Absatz-Standardschriftart"/>
    <w:uiPriority w:val="99"/>
    <w:semiHidden/>
    <w:rPr>
      <w:sz w:val="16"/>
    </w:rPr>
  </w:style>
  <w:style w:type="paragraph" w:styleId="Kommentartext">
    <w:name w:val="annotation text"/>
    <w:basedOn w:val="Standard"/>
    <w:link w:val="KommentartextZchn"/>
    <w:uiPriority w:val="99"/>
    <w:semiHidden/>
    <w:rPr>
      <w:sz w:val="20"/>
    </w:rPr>
  </w:style>
  <w:style w:type="character" w:customStyle="1" w:styleId="KommentartextZchn">
    <w:name w:val="Kommentartext Zchn"/>
    <w:basedOn w:val="Absatz-Standardschriftart"/>
    <w:link w:val="Kommentartext"/>
    <w:uiPriority w:val="99"/>
    <w:semiHidden/>
    <w:rPr>
      <w:rFonts w:ascii="Arial" w:hAnsi="Arial"/>
      <w:kern w:val="4"/>
      <w:lang w:eastAsia="de-DE"/>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Listenabsatz">
    <w:name w:val="List Paragraph"/>
    <w:basedOn w:val="Standard"/>
    <w:uiPriority w:val="34"/>
    <w:qFormat/>
    <w:rsid w:val="00EC58AA"/>
    <w:pPr>
      <w:spacing w:line="240" w:lineRule="atLeast"/>
      <w:ind w:left="720"/>
      <w:contextualSpacing/>
    </w:pPr>
  </w:style>
  <w:style w:type="paragraph" w:styleId="Sprechblasentext">
    <w:name w:val="Balloon Text"/>
    <w:basedOn w:val="Standard"/>
    <w:link w:val="SprechblasentextZchn"/>
    <w:uiPriority w:val="99"/>
    <w:rsid w:val="00AE233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AE233D"/>
    <w:rPr>
      <w:rFonts w:ascii="Tahoma" w:hAnsi="Tahoma" w:cs="Tahoma"/>
      <w:kern w:val="4"/>
      <w:sz w:val="16"/>
      <w:szCs w:val="16"/>
      <w:lang w:val="x-non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60" w:lineRule="atLeast"/>
    </w:pPr>
    <w:rPr>
      <w:rFonts w:ascii="Arial" w:hAnsi="Arial"/>
      <w:kern w:val="4"/>
      <w:sz w:val="22"/>
      <w:lang w:eastAsia="de-DE"/>
    </w:rPr>
  </w:style>
  <w:style w:type="paragraph" w:styleId="berschrift1">
    <w:name w:val="heading 1"/>
    <w:basedOn w:val="Standard"/>
    <w:next w:val="Standard"/>
    <w:link w:val="berschrift1Zchn"/>
    <w:uiPriority w:val="9"/>
    <w:qFormat/>
    <w:rsid w:val="008534A1"/>
    <w:pPr>
      <w:keepNext/>
      <w:spacing w:before="240" w:after="60"/>
      <w:outlineLvl w:val="0"/>
    </w:pPr>
    <w:rPr>
      <w:rFonts w:ascii="Cambria" w:eastAsia="SimSun" w:hAnsi="Cambria"/>
      <w:b/>
      <w:bCs/>
      <w:kern w:val="32"/>
      <w:sz w:val="32"/>
      <w:szCs w:val="32"/>
    </w:rPr>
  </w:style>
  <w:style w:type="paragraph" w:styleId="berschrift2">
    <w:name w:val="heading 2"/>
    <w:basedOn w:val="Standard"/>
    <w:next w:val="Standard"/>
    <w:link w:val="berschrift2Zchn"/>
    <w:uiPriority w:val="9"/>
    <w:qFormat/>
    <w:rsid w:val="0050117F"/>
    <w:pPr>
      <w:keepNext/>
      <w:framePr w:hSpace="142" w:wrap="around" w:vAnchor="page" w:hAnchor="page" w:x="1872" w:y="15197"/>
      <w:spacing w:line="240" w:lineRule="auto"/>
      <w:outlineLvl w:val="1"/>
    </w:pPr>
    <w:rPr>
      <w:b/>
      <w:kern w:val="0"/>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8534A1"/>
    <w:rPr>
      <w:rFonts w:ascii="Cambria" w:eastAsia="SimSun" w:hAnsi="Cambria"/>
      <w:b/>
      <w:kern w:val="32"/>
      <w:sz w:val="32"/>
      <w:lang w:val="x-none" w:eastAsia="de-DE"/>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kern w:val="4"/>
      <w:sz w:val="28"/>
      <w:szCs w:val="28"/>
      <w:lang w:eastAsia="de-DE"/>
    </w:rPr>
  </w:style>
  <w:style w:type="paragraph" w:styleId="Kopfzeile">
    <w:name w:val="header"/>
    <w:basedOn w:val="Standard"/>
    <w:link w:val="KopfzeileZchn"/>
    <w:uiPriority w:val="99"/>
    <w:pPr>
      <w:widowControl w:val="0"/>
      <w:spacing w:line="600" w:lineRule="exact"/>
      <w:ind w:right="284"/>
      <w:jc w:val="right"/>
    </w:pPr>
    <w:rPr>
      <w:noProof/>
      <w:kern w:val="0"/>
    </w:rPr>
  </w:style>
  <w:style w:type="character" w:customStyle="1" w:styleId="KopfzeileZchn">
    <w:name w:val="Kopfzeile Zchn"/>
    <w:basedOn w:val="Absatz-Standardschriftart"/>
    <w:link w:val="Kopfzeile"/>
    <w:uiPriority w:val="99"/>
    <w:semiHidden/>
    <w:rPr>
      <w:rFonts w:ascii="Arial" w:hAnsi="Arial"/>
      <w:kern w:val="4"/>
      <w:sz w:val="22"/>
      <w:lang w:eastAsia="de-DE"/>
    </w:rPr>
  </w:style>
  <w:style w:type="paragraph" w:styleId="Fuzeile">
    <w:name w:val="footer"/>
    <w:basedOn w:val="Standard"/>
    <w:link w:val="FuzeileZchn"/>
    <w:uiPriority w:val="99"/>
    <w:rPr>
      <w:sz w:val="16"/>
    </w:rPr>
  </w:style>
  <w:style w:type="character" w:customStyle="1" w:styleId="FuzeileZchn">
    <w:name w:val="Fußzeile Zchn"/>
    <w:basedOn w:val="Absatz-Standardschriftart"/>
    <w:link w:val="Fuzeile"/>
    <w:uiPriority w:val="99"/>
    <w:semiHidden/>
    <w:rPr>
      <w:rFonts w:ascii="Arial" w:hAnsi="Arial"/>
      <w:kern w:val="4"/>
      <w:sz w:val="22"/>
      <w:lang w:eastAsia="de-DE"/>
    </w:rPr>
  </w:style>
  <w:style w:type="character" w:styleId="Kommentarzeichen">
    <w:name w:val="annotation reference"/>
    <w:basedOn w:val="Absatz-Standardschriftart"/>
    <w:uiPriority w:val="99"/>
    <w:semiHidden/>
    <w:rPr>
      <w:sz w:val="16"/>
    </w:rPr>
  </w:style>
  <w:style w:type="paragraph" w:styleId="Kommentartext">
    <w:name w:val="annotation text"/>
    <w:basedOn w:val="Standard"/>
    <w:link w:val="KommentartextZchn"/>
    <w:uiPriority w:val="99"/>
    <w:semiHidden/>
    <w:rPr>
      <w:sz w:val="20"/>
    </w:rPr>
  </w:style>
  <w:style w:type="character" w:customStyle="1" w:styleId="KommentartextZchn">
    <w:name w:val="Kommentartext Zchn"/>
    <w:basedOn w:val="Absatz-Standardschriftart"/>
    <w:link w:val="Kommentartext"/>
    <w:uiPriority w:val="99"/>
    <w:semiHidden/>
    <w:rPr>
      <w:rFonts w:ascii="Arial" w:hAnsi="Arial"/>
      <w:kern w:val="4"/>
      <w:lang w:eastAsia="de-DE"/>
    </w:rPr>
  </w:style>
  <w:style w:type="paragraph" w:customStyle="1" w:styleId="Greeting">
    <w:name w:val="Greeting"/>
    <w:basedOn w:val="Standard"/>
    <w:next w:val="Standard"/>
  </w:style>
  <w:style w:type="paragraph" w:customStyle="1" w:styleId="Blind">
    <w:name w:val="Blind"/>
    <w:basedOn w:val="Foot"/>
  </w:style>
  <w:style w:type="paragraph" w:customStyle="1" w:styleId="Foot">
    <w:name w:val="Foot"/>
    <w:basedOn w:val="Standard"/>
    <w:pPr>
      <w:spacing w:line="140" w:lineRule="exact"/>
    </w:pPr>
    <w:rPr>
      <w:vanish/>
      <w:sz w:val="12"/>
    </w:rPr>
  </w:style>
  <w:style w:type="paragraph" w:customStyle="1" w:styleId="Opening">
    <w:name w:val="Opening"/>
    <w:basedOn w:val="Standard"/>
  </w:style>
  <w:style w:type="paragraph" w:customStyle="1" w:styleId="Von">
    <w:name w:val="Von"/>
    <w:basedOn w:val="Standard"/>
  </w:style>
  <w:style w:type="paragraph" w:customStyle="1" w:styleId="Initials">
    <w:name w:val="Initials"/>
    <w:basedOn w:val="Standard"/>
    <w:next w:val="Standard"/>
  </w:style>
  <w:style w:type="paragraph" w:customStyle="1" w:styleId="Signatory">
    <w:name w:val="Signatory"/>
    <w:basedOn w:val="Standard"/>
    <w:next w:val="Standard"/>
  </w:style>
  <w:style w:type="paragraph" w:customStyle="1" w:styleId="Address">
    <w:name w:val="Address"/>
    <w:basedOn w:val="Standard"/>
    <w:pPr>
      <w:tabs>
        <w:tab w:val="left" w:pos="624"/>
      </w:tabs>
      <w:spacing w:line="190" w:lineRule="exact"/>
    </w:pPr>
    <w:rPr>
      <w:sz w:val="17"/>
    </w:rPr>
  </w:style>
  <w:style w:type="paragraph" w:customStyle="1" w:styleId="Fax1">
    <w:name w:val="Fax1"/>
    <w:basedOn w:val="Standard"/>
  </w:style>
  <w:style w:type="paragraph" w:customStyle="1" w:styleId="Organisation">
    <w:name w:val="Organisation"/>
    <w:basedOn w:val="Standard"/>
    <w:rPr>
      <w:b/>
    </w:rPr>
  </w:style>
  <w:style w:type="paragraph" w:customStyle="1" w:styleId="Fax2">
    <w:name w:val="Fax2"/>
    <w:basedOn w:val="Standard"/>
  </w:style>
  <w:style w:type="paragraph" w:customStyle="1" w:styleId="Kopfzeile1">
    <w:name w:val="Kopfzeile1"/>
    <w:basedOn w:val="Standard"/>
    <w:next w:val="Standard"/>
    <w:rPr>
      <w:b/>
    </w:rPr>
  </w:style>
  <w:style w:type="paragraph" w:customStyle="1" w:styleId="Dates">
    <w:name w:val="Dates"/>
    <w:basedOn w:val="Standard"/>
  </w:style>
  <w:style w:type="paragraph" w:customStyle="1" w:styleId="Name">
    <w:name w:val="Name"/>
    <w:basedOn w:val="Standard"/>
  </w:style>
  <w:style w:type="paragraph" w:customStyle="1" w:styleId="Pages">
    <w:name w:val="Pages"/>
    <w:basedOn w:val="Standard"/>
  </w:style>
  <w:style w:type="paragraph" w:customStyle="1" w:styleId="StandardTabelle">
    <w:name w:val="StandardTabelle"/>
    <w:basedOn w:val="Standard"/>
    <w:pPr>
      <w:tabs>
        <w:tab w:val="left" w:pos="2381"/>
        <w:tab w:val="left" w:pos="7541"/>
      </w:tabs>
    </w:pPr>
  </w:style>
  <w:style w:type="paragraph" w:customStyle="1" w:styleId="Firma">
    <w:name w:val="Firma"/>
    <w:basedOn w:val="Standard"/>
  </w:style>
  <w:style w:type="paragraph" w:customStyle="1" w:styleId="Telefon">
    <w:name w:val="Telefon"/>
    <w:basedOn w:val="Standard"/>
  </w:style>
  <w:style w:type="paragraph" w:customStyle="1" w:styleId="Titel1">
    <w:name w:val="Titel1"/>
    <w:basedOn w:val="Standard"/>
    <w:pPr>
      <w:spacing w:line="700" w:lineRule="exact"/>
      <w:ind w:left="2884"/>
    </w:pPr>
  </w:style>
  <w:style w:type="paragraph" w:customStyle="1" w:styleId="Page">
    <w:name w:val="Page"/>
    <w:basedOn w:val="Standard"/>
  </w:style>
  <w:style w:type="paragraph" w:styleId="Listenabsatz">
    <w:name w:val="List Paragraph"/>
    <w:basedOn w:val="Standard"/>
    <w:uiPriority w:val="34"/>
    <w:qFormat/>
    <w:rsid w:val="00EC58AA"/>
    <w:pPr>
      <w:spacing w:line="240" w:lineRule="atLeast"/>
      <w:ind w:left="720"/>
      <w:contextualSpacing/>
    </w:pPr>
  </w:style>
  <w:style w:type="paragraph" w:styleId="Sprechblasentext">
    <w:name w:val="Balloon Text"/>
    <w:basedOn w:val="Standard"/>
    <w:link w:val="SprechblasentextZchn"/>
    <w:uiPriority w:val="99"/>
    <w:rsid w:val="00AE233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AE233D"/>
    <w:rPr>
      <w:rFonts w:ascii="Tahoma" w:hAnsi="Tahoma" w:cs="Tahoma"/>
      <w:kern w:val="4"/>
      <w:sz w:val="16"/>
      <w:szCs w:val="16"/>
      <w:lang w:val="x-non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becker\Anwendungsdaten\Microsoft\Templates\vdw\for_vdw_pm_201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6F16-B7FE-4B28-A45F-A41840E1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for_vdw_pm_2012-02.dotx</Template>
  <TotalTime>0</TotalTime>
  <Pages>3</Pages>
  <Words>1045</Words>
  <Characters>6982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Fax</vt:lpstr>
    </vt:vector>
  </TitlesOfParts>
  <Company>sth</Company>
  <LinksUpToDate>false</LinksUpToDate>
  <CharactersWithSpaces>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Becker, Sylke</dc:creator>
  <cp:lastModifiedBy>Treyz, Ursula</cp:lastModifiedBy>
  <cp:revision>2</cp:revision>
  <cp:lastPrinted>2015-02-10T15:48:00Z</cp:lastPrinted>
  <dcterms:created xsi:type="dcterms:W3CDTF">2015-02-11T10:08:00Z</dcterms:created>
  <dcterms:modified xsi:type="dcterms:W3CDTF">2015-02-11T10:08:00Z</dcterms:modified>
</cp:coreProperties>
</file>